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spacing w:line="620" w:lineRule="exact"/>
        <w:ind w:firstLine="640" w:left="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Cs/>
          <w:color w:val="auto"/>
          <w:sz w:val="32"/>
          <w:szCs w:val="32"/>
        </w:rPr>
        <w:t xml:space="preserve">附件</w:t>
      </w:r>
      <w:r>
        <w:rPr>
          <w:rFonts w:hint="default" w:ascii="Times New Roman" w:hAnsi="Times New Roman" w:eastAsia="仿宋_GB2312" w:cs="Times New Roman"/>
          <w:bCs/>
          <w:color w:val="auto"/>
          <w:sz w:val="32"/>
          <w:szCs w:val="32"/>
          <w:lang w:eastAsia="zh-CN"/>
        </w:rPr>
        <w:t xml:space="preserve">：</w:t>
      </w:r>
      <w:r>
        <w:rPr>
          <w:rFonts w:hint="default" w:ascii="Times New Roman" w:hAnsi="Times New Roman" w:eastAsia="仿宋_GB2312" w:cs="Times New Roman"/>
          <w:color w:val="auto"/>
          <w:sz w:val="32"/>
          <w:szCs w:val="32"/>
        </w:rPr>
        <w:t xml:space="preserve">1</w:t>
      </w:r>
      <w:r>
        <w:rPr>
          <w:rFonts w:hint="default" w:ascii="Times New Roman" w:hAnsi="Times New Roman" w:eastAsia="仿宋_GB2312" w:cs="Times New Roman"/>
          <w:color w:val="auto"/>
          <w:sz w:val="32"/>
          <w:szCs w:val="32"/>
          <w:lang w:eastAsia="zh-CN"/>
        </w:rPr>
        <w:t xml:space="preserve">、数字随州建设项目支出绩效评价结果</w:t>
      </w:r>
      <w:r>
        <w:rPr>
          <w:rFonts w:hint="default" w:ascii="Times New Roman" w:hAnsi="Times New Roman" w:eastAsia="仿宋_GB2312" w:cs="Times New Roman"/>
          <w:color w:val="auto"/>
          <w:sz w:val="32"/>
          <w:szCs w:val="32"/>
          <w:lang w:eastAsia="zh-CN"/>
        </w:rPr>
      </w:r>
    </w:p>
    <w:p>
      <w:pPr>
        <w:keepNext w:val="false"/>
        <w:keepLines w:val="false"/>
        <w:pageBreakBefore w:val="false"/>
        <w:widowControl w:val="false"/>
        <w:pBdr/>
        <w:spacing w:line="620" w:lineRule="exact"/>
        <w:ind w:firstLine="1600" w:left="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2、</w:t>
      </w:r>
      <w:r>
        <w:rPr>
          <w:rFonts w:hint="default" w:ascii="Times New Roman" w:hAnsi="Times New Roman" w:eastAsia="仿宋_GB2312" w:cs="Times New Roman"/>
          <w:color w:val="auto"/>
          <w:sz w:val="32"/>
          <w:szCs w:val="32"/>
        </w:rPr>
        <w:t xml:space="preserve">福彩公益金市县分成资金项目支出绩效评价</w:t>
      </w:r>
      <w:r>
        <w:rPr>
          <w:rFonts w:hint="default" w:ascii="Times New Roman" w:hAnsi="Times New Roman" w:eastAsia="仿宋_GB2312" w:cs="Times New Roman"/>
          <w:color w:val="auto"/>
          <w:sz w:val="32"/>
          <w:szCs w:val="32"/>
          <w:lang w:eastAsia="zh-CN"/>
        </w:rPr>
        <w:t xml:space="preserve">结果</w:t>
      </w:r>
      <w:r>
        <w:rPr>
          <w:rFonts w:hint="default" w:ascii="Times New Roman" w:hAnsi="Times New Roman" w:eastAsia="仿宋_GB2312" w:cs="Times New Roman"/>
          <w:color w:val="auto"/>
          <w:sz w:val="32"/>
          <w:szCs w:val="32"/>
          <w:lang w:eastAsia="zh-CN"/>
        </w:rPr>
      </w:r>
    </w:p>
    <w:p>
      <w:pPr>
        <w:keepNext w:val="false"/>
        <w:keepLines w:val="false"/>
        <w:pageBreakBefore w:val="false"/>
        <w:widowControl w:val="false"/>
        <w:pBdr/>
        <w:spacing w:line="620" w:lineRule="exact"/>
        <w:ind w:hanging="320" w:left="192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3、2023年鄂北水资源配置二期市直工程一般债券项目绩效评价结果</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ind w:firstLine="0"/>
        <w:jc w:val="center"/>
        <w:rPr>
          <w:rFonts w:ascii="方正小标宋_GBK" w:hAnsi="方正小标宋_GBK" w:eastAsia="方正小标宋_GBK" w:cs="方正小标宋_GBK"/>
          <w:bCs/>
          <w:color w:val="auto"/>
          <w:spacing w:val="0"/>
          <w:sz w:val="40"/>
          <w:szCs w:val="40"/>
        </w:rPr>
      </w:pPr>
      <w:r>
        <w:rPr>
          <w:rFonts w:hint="eastAsia" w:eastAsia="方正小标宋_GBK" w:cs="Times New Roman"/>
          <w:b/>
          <w:bCs/>
          <w:color w:val="auto"/>
          <w:sz w:val="36"/>
          <w:szCs w:val="36"/>
          <w:highlight w:val="none"/>
          <w:lang w:val="en-US" w:eastAsia="zh-CN"/>
        </w:rPr>
        <w:br w:type="page" w:clear="all"/>
      </w:r>
      <w:r>
        <w:rPr>
          <w:rFonts w:hint="eastAsia" w:ascii="方正小标宋简体" w:hAnsi="方正小标宋简体" w:eastAsia="方正小标宋简体" w:cs="方正小标宋简体"/>
          <w:bCs/>
          <w:color w:val="auto"/>
          <w:spacing w:val="0"/>
          <w:sz w:val="40"/>
          <w:szCs w:val="40"/>
          <w:lang w:val="en-US" w:eastAsia="zh-CN" w:bidi="ar-SA"/>
        </w:rPr>
        <w:t xml:space="preserve">数字随州建设项目</w:t>
      </w:r>
      <w:r>
        <w:rPr>
          <w:rFonts w:hint="eastAsia" w:ascii="方正小标宋简体" w:hAnsi="方正小标宋简体" w:eastAsia="方正小标宋简体" w:cs="方正小标宋简体"/>
          <w:bCs/>
          <w:color w:val="auto"/>
          <w:spacing w:val="0"/>
          <w:sz w:val="40"/>
          <w:szCs w:val="40"/>
        </w:rPr>
        <w:t xml:space="preserve">绩效评价报告</w:t>
      </w:r>
      <w:r>
        <w:rPr>
          <w:rFonts w:ascii="方正小标宋_GBK" w:hAnsi="方正小标宋_GBK" w:eastAsia="方正小标宋_GBK" w:cs="方正小标宋_GBK"/>
          <w:bCs/>
          <w:color w:val="auto"/>
          <w:spacing w:val="0"/>
          <w:sz w:val="40"/>
          <w:szCs w:val="40"/>
        </w:rPr>
      </w:r>
    </w:p>
    <w:p>
      <w:pPr>
        <w:pBdr/>
        <w:spacing/>
        <w:ind w:firstLine="640"/>
        <w:jc w:val="lef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r>
      <w:r>
        <w:rPr>
          <w:rFonts w:ascii="Times New Roman" w:hAnsi="Times New Roman" w:eastAsia="黑体" w:cs="Times New Roman"/>
          <w:color w:val="auto"/>
          <w:sz w:val="32"/>
          <w:szCs w:val="32"/>
        </w:rPr>
      </w:r>
    </w:p>
    <w:p>
      <w:pPr>
        <w:keepNext w:val="false"/>
        <w:keepLines w:val="false"/>
        <w:pageBreakBefore w:val="false"/>
        <w:widowControl w:val="false"/>
        <w:pBdr/>
        <w:spacing w:line="620" w:lineRule="exact"/>
        <w:ind w:firstLine="640"/>
        <w:jc w:val="both"/>
        <w:outlineLvl w:val="0"/>
        <w:rPr>
          <w:rFonts w:hint="default" w:ascii="Times New Roman" w:hAnsi="Times New Roman" w:eastAsia="黑体" w:cs="Times New Roman"/>
          <w:color w:val="auto"/>
          <w:sz w:val="32"/>
          <w:szCs w:val="32"/>
        </w:rPr>
      </w:pPr>
      <w:r/>
      <w:bookmarkStart w:id="0" w:name="_Toc28939"/>
      <w:r/>
      <w:bookmarkStart w:id="1" w:name="_Toc147654958"/>
      <w:r>
        <w:rPr>
          <w:rFonts w:hint="default" w:ascii="Times New Roman" w:hAnsi="Times New Roman" w:eastAsia="黑体" w:cs="Times New Roman"/>
          <w:color w:val="auto"/>
          <w:sz w:val="32"/>
          <w:szCs w:val="32"/>
        </w:rPr>
        <w:t xml:space="preserve">1评价结论</w:t>
      </w:r>
      <w:bookmarkEnd w:id="0"/>
      <w:r/>
      <w:bookmarkEnd w:id="1"/>
      <w:r/>
      <w:r>
        <w:rPr>
          <w:rFonts w:hint="default" w:ascii="Times New Roman" w:hAnsi="Times New Roman" w:eastAsia="黑体"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 w:name="_Toc147654959"/>
      <w:r/>
      <w:bookmarkStart w:id="3" w:name="_Toc31851"/>
      <w:r>
        <w:rPr>
          <w:rFonts w:hint="default" w:ascii="Times New Roman" w:hAnsi="Times New Roman" w:eastAsia="楷体_GB2312" w:cs="Times New Roman"/>
          <w:color w:val="auto"/>
          <w:sz w:val="32"/>
          <w:szCs w:val="32"/>
          <w:lang w:val="en-US" w:eastAsia="zh-CN"/>
        </w:rPr>
        <w:t xml:space="preserve">1.1绩效评价分数和等级</w:t>
      </w:r>
      <w:bookmarkEnd w:id="2"/>
      <w:r/>
      <w:bookmarkEnd w:id="3"/>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lang w:val="en-US" w:eastAsia="zh-CN" w:bidi="ar-SA"/>
        </w:rPr>
        <w:t xml:space="preserve">我们接受委托，对数字随州建设项目进行绩效评价，绩效评</w:t>
      </w:r>
      <w:r>
        <w:rPr>
          <w:rFonts w:hint="default" w:ascii="Times New Roman" w:hAnsi="Times New Roman" w:eastAsia="仿宋_GB2312" w:cs="Times New Roman"/>
          <w:color w:val="auto"/>
          <w:sz w:val="32"/>
          <w:szCs w:val="32"/>
        </w:rPr>
        <w:t xml:space="preserve">价得分为</w:t>
      </w:r>
      <w:r>
        <w:rPr>
          <w:rFonts w:hint="default" w:ascii="Times New Roman" w:hAnsi="Times New Roman" w:eastAsia="仿宋_GB2312" w:cs="Times New Roman"/>
          <w:color w:val="auto"/>
          <w:sz w:val="32"/>
          <w:szCs w:val="32"/>
          <w:lang w:val="en-US" w:eastAsia="zh-CN"/>
        </w:rPr>
        <w:t xml:space="preserve">84.07</w:t>
      </w:r>
      <w:r>
        <w:rPr>
          <w:rFonts w:hint="default" w:ascii="Times New Roman" w:hAnsi="Times New Roman" w:eastAsia="仿宋_GB2312" w:cs="Times New Roman"/>
          <w:color w:val="auto"/>
          <w:sz w:val="32"/>
          <w:szCs w:val="32"/>
        </w:rPr>
        <w:t xml:space="preserve">分。按照湖北省《第三方机构参与预算绩效管理报告编</w:t>
      </w:r>
      <w:r>
        <w:rPr>
          <w:rFonts w:hint="default" w:ascii="Times New Roman" w:hAnsi="Times New Roman" w:eastAsia="仿宋_GB2312" w:cs="Times New Roman"/>
          <w:color w:val="auto"/>
          <w:sz w:val="32"/>
          <w:szCs w:val="32"/>
          <w:highlight w:val="none"/>
        </w:rPr>
        <w:t xml:space="preserve">制规范》（HUBS/WG02/T 003），等级为</w:t>
      </w:r>
      <w:r>
        <w:rPr>
          <w:rFonts w:hint="default" w:ascii="Times New Roman" w:hAnsi="Times New Roman" w:eastAsia="仿宋_GB2312" w:cs="Times New Roman"/>
          <w:color w:val="auto"/>
          <w:sz w:val="32"/>
          <w:szCs w:val="32"/>
          <w:highlight w:val="none"/>
          <w:lang w:eastAsia="zh-CN"/>
        </w:rPr>
        <w:t xml:space="preserve">良</w:t>
      </w:r>
      <w:r>
        <w:rPr>
          <w:rFonts w:hint="default" w:ascii="Times New Roman" w:hAnsi="Times New Roman" w:eastAsia="仿宋_GB2312" w:cs="Times New Roman"/>
          <w:color w:val="auto"/>
          <w:sz w:val="32"/>
          <w:szCs w:val="32"/>
          <w:highlight w:val="none"/>
        </w:rPr>
        <w:t xml:space="preserve">。各项指标评价得分汇总如下：</w:t>
      </w:r>
      <w:r>
        <w:rPr>
          <w:rFonts w:hint="default" w:ascii="Times New Roman" w:hAnsi="Times New Roman" w:eastAsia="仿宋_GB2312" w:cs="Times New Roman"/>
          <w:color w:val="auto"/>
          <w:sz w:val="32"/>
          <w:szCs w:val="32"/>
          <w:highlight w:val="none"/>
        </w:rPr>
      </w:r>
    </w:p>
    <w:tbl>
      <w:tblPr>
        <w:tblStyle w:val="716"/>
        <w:tblW w:w="7712" w:type="dxa"/>
        <w:jc w:val="center"/>
        <w:tblBorders/>
        <w:tblLayout w:type="fixed"/>
        <w:tblCellMar>
          <w:left w:w="108" w:type="dxa"/>
          <w:top w:w="0" w:type="dxa"/>
          <w:right w:w="108" w:type="dxa"/>
          <w:bottom w:w="0" w:type="dxa"/>
        </w:tblCellMar>
        <w:tblLook w:val="04A0" w:firstRow="1" w:lastRow="0" w:firstColumn="1" w:lastColumn="0" w:noHBand="0" w:noVBand="1"/>
      </w:tblPr>
      <w:tblGrid>
        <w:gridCol w:w="2602"/>
        <w:gridCol w:w="2602"/>
        <w:gridCol w:w="2508"/>
      </w:tblGrid>
      <w:tr>
        <w:trPr>
          <w:jc w:val="center"/>
          <w:trHeight w:val="604"/>
        </w:trPr>
        <w:tc>
          <w:tcPr>
            <w:shd w:val="clear" w:color="auto" w:fill="auto"/>
            <w:tcBorders>
              <w:top w:val="single" w:color="auto" w:sz="4" w:space="0"/>
              <w:left w:val="single" w:color="auto"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一级指标</w:t>
            </w:r>
            <w:r>
              <w:rPr>
                <w:rFonts w:hint="eastAsia" w:ascii="黑体" w:hAnsi="黑体" w:eastAsia="黑体" w:cs="黑体"/>
                <w:color w:val="auto"/>
                <w:sz w:val="24"/>
                <w:szCs w:val="24"/>
                <w:highlight w:val="none"/>
              </w:rPr>
            </w:r>
          </w:p>
        </w:tc>
        <w:tc>
          <w:tcPr>
            <w:shd w:val="clear" w:color="auto" w:fill="auto"/>
            <w:tcBorders>
              <w:top w:val="single" w:color="auto" w:sz="4" w:space="0"/>
              <w:left w:val="none" w:color="000000"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标准分值</w:t>
            </w:r>
            <w:r>
              <w:rPr>
                <w:rFonts w:hint="eastAsia" w:ascii="黑体" w:hAnsi="黑体" w:eastAsia="黑体" w:cs="黑体"/>
                <w:color w:val="auto"/>
                <w:sz w:val="24"/>
                <w:szCs w:val="24"/>
                <w:highlight w:val="none"/>
              </w:rPr>
            </w:r>
          </w:p>
        </w:tc>
        <w:tc>
          <w:tcPr>
            <w:shd w:val="clear" w:color="auto" w:fill="auto"/>
            <w:tcBorders>
              <w:top w:val="single" w:color="auto" w:sz="4" w:space="0"/>
              <w:left w:val="none" w:color="000000" w:sz="4" w:space="0"/>
              <w:bottom w:val="single" w:color="auto" w:sz="4" w:space="0"/>
              <w:right w:val="single" w:color="auto" w:sz="4" w:space="0"/>
            </w:tcBorders>
            <w:tcW w:w="2508" w:type="dxa"/>
            <w:vAlign w:val="center"/>
            <w:textDirection w:val="lrTb"/>
            <w:noWrap w:val="false"/>
          </w:tcPr>
          <w:p>
            <w:pPr>
              <w:keepNext w:val="false"/>
              <w:keepLines w:val="false"/>
              <w:pageBreakBefore w:val="false"/>
              <w:widowControl w:val="true"/>
              <w:pBdr/>
              <w:spacing w:line="520" w:lineRule="exact"/>
              <w:ind w:firstLine="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得分</w:t>
            </w:r>
            <w:r>
              <w:rPr>
                <w:rFonts w:hint="eastAsia" w:ascii="黑体" w:hAnsi="黑体" w:eastAsia="黑体" w:cs="黑体"/>
                <w:color w:val="auto"/>
                <w:sz w:val="24"/>
                <w:szCs w:val="24"/>
                <w:highlight w:val="none"/>
              </w:rPr>
            </w:r>
          </w:p>
        </w:tc>
      </w:tr>
      <w:tr>
        <w:trPr>
          <w:jc w:val="center"/>
          <w:trHeight w:val="604"/>
        </w:trPr>
        <w:tc>
          <w:tcPr>
            <w:shd w:val="clear" w:color="auto" w:fill="auto"/>
            <w:tcBorders>
              <w:top w:val="none" w:color="000000" w:sz="4" w:space="0"/>
              <w:left w:val="single" w:color="auto"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决策</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 xml:space="preserve">1</w:t>
            </w:r>
            <w:r>
              <w:rPr>
                <w:rFonts w:hint="default" w:ascii="Times New Roman" w:hAnsi="Times New Roman" w:eastAsia="宋体" w:cs="Times New Roman"/>
                <w:color w:val="auto"/>
                <w:sz w:val="24"/>
                <w:szCs w:val="24"/>
                <w:highlight w:val="none"/>
                <w:lang w:val="en-US" w:eastAsia="zh-CN"/>
              </w:rPr>
              <w:t xml:space="preserve">2</w:t>
            </w:r>
            <w:r>
              <w:rPr>
                <w:rFonts w:hint="default" w:ascii="Times New Roman" w:hAnsi="Times New Roman" w:eastAsia="宋体" w:cs="Times New Roman"/>
                <w:color w:val="auto"/>
                <w:sz w:val="24"/>
                <w:szCs w:val="24"/>
                <w:highlight w:val="none"/>
                <w:lang w:eastAsia="zh-CN"/>
              </w:rPr>
            </w:r>
          </w:p>
        </w:tc>
        <w:tc>
          <w:tcPr>
            <w:shd w:val="clear" w:color="auto" w:fill="auto"/>
            <w:tcBorders>
              <w:top w:val="none" w:color="000000" w:sz="4" w:space="0"/>
              <w:left w:val="none" w:color="000000" w:sz="4" w:space="0"/>
              <w:bottom w:val="single" w:color="auto" w:sz="4" w:space="0"/>
              <w:right w:val="single" w:color="auto" w:sz="4" w:space="0"/>
            </w:tcBorders>
            <w:tcW w:w="2508" w:type="dxa"/>
            <w:vAlign w:val="center"/>
            <w:textDirection w:val="lrTb"/>
            <w:noWrap w:val="false"/>
          </w:tcPr>
          <w:p>
            <w:pPr>
              <w:keepNext w:val="false"/>
              <w:keepLines w:val="false"/>
              <w:pageBreakBefore w:val="false"/>
              <w:pBdr/>
              <w:spacing w:line="520" w:lineRule="exact"/>
              <w:ind w:firstLine="412"/>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7</w:t>
            </w:r>
            <w:r>
              <w:rPr>
                <w:rFonts w:hint="default" w:ascii="Times New Roman" w:hAnsi="Times New Roman" w:eastAsia="宋体" w:cs="Times New Roman"/>
                <w:color w:val="auto"/>
                <w:sz w:val="24"/>
                <w:szCs w:val="24"/>
                <w:highlight w:val="none"/>
                <w:lang w:val="en-US" w:eastAsia="zh-CN"/>
              </w:rPr>
            </w:r>
          </w:p>
        </w:tc>
      </w:tr>
      <w:tr>
        <w:trPr>
          <w:jc w:val="center"/>
          <w:trHeight w:val="604"/>
        </w:trPr>
        <w:tc>
          <w:tcPr>
            <w:shd w:val="clear" w:color="auto" w:fill="auto"/>
            <w:tcBorders>
              <w:top w:val="none" w:color="000000" w:sz="4" w:space="0"/>
              <w:left w:val="single" w:color="auto"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过程</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20</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508" w:type="dxa"/>
            <w:vAlign w:val="center"/>
            <w:textDirection w:val="lrTb"/>
            <w:noWrap w:val="false"/>
          </w:tcPr>
          <w:p>
            <w:pPr>
              <w:keepNext w:val="false"/>
              <w:keepLines w:val="false"/>
              <w:pageBreakBefore w:val="false"/>
              <w:pBdr/>
              <w:spacing w:line="520" w:lineRule="exact"/>
              <w:ind w:firstLine="412"/>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 xml:space="preserve">1</w:t>
            </w:r>
            <w:r>
              <w:rPr>
                <w:rFonts w:hint="default" w:ascii="Times New Roman" w:hAnsi="Times New Roman" w:eastAsia="宋体" w:cs="Times New Roman"/>
                <w:color w:val="auto"/>
                <w:sz w:val="24"/>
                <w:szCs w:val="24"/>
                <w:highlight w:val="none"/>
                <w:lang w:val="en-US" w:eastAsia="zh-CN"/>
              </w:rPr>
              <w:t xml:space="preserve">4.07</w:t>
            </w:r>
            <w:r>
              <w:rPr>
                <w:rFonts w:hint="default" w:ascii="Times New Roman" w:hAnsi="Times New Roman" w:eastAsia="宋体" w:cs="Times New Roman"/>
                <w:color w:val="auto"/>
                <w:sz w:val="24"/>
                <w:szCs w:val="24"/>
                <w:highlight w:val="none"/>
                <w:lang w:val="en-US" w:eastAsia="zh-CN"/>
              </w:rPr>
            </w:r>
          </w:p>
        </w:tc>
      </w:tr>
      <w:tr>
        <w:trPr>
          <w:jc w:val="center"/>
          <w:trHeight w:val="604"/>
        </w:trPr>
        <w:tc>
          <w:tcPr>
            <w:shd w:val="clear" w:color="auto" w:fill="auto"/>
            <w:tcBorders>
              <w:top w:val="none" w:color="000000" w:sz="4" w:space="0"/>
              <w:left w:val="single" w:color="auto"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产出</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 xml:space="preserve">4</w:t>
            </w:r>
            <w:r>
              <w:rPr>
                <w:rFonts w:hint="default" w:ascii="Times New Roman" w:hAnsi="Times New Roman" w:eastAsia="宋体" w:cs="Times New Roman"/>
                <w:color w:val="auto"/>
                <w:sz w:val="24"/>
                <w:szCs w:val="24"/>
                <w:highlight w:val="none"/>
                <w:lang w:val="en-US" w:eastAsia="zh-CN"/>
              </w:rPr>
              <w:t xml:space="preserve">8</w:t>
            </w:r>
            <w:r>
              <w:rPr>
                <w:rFonts w:hint="default" w:ascii="Times New Roman" w:hAnsi="Times New Roman" w:eastAsia="宋体" w:cs="Times New Roman"/>
                <w:color w:val="auto"/>
                <w:sz w:val="24"/>
                <w:szCs w:val="24"/>
                <w:highlight w:val="none"/>
                <w:lang w:eastAsia="zh-CN"/>
              </w:rPr>
            </w:r>
          </w:p>
        </w:tc>
        <w:tc>
          <w:tcPr>
            <w:shd w:val="clear" w:color="auto" w:fill="auto"/>
            <w:tcBorders>
              <w:top w:val="none" w:color="000000" w:sz="4" w:space="0"/>
              <w:left w:val="none" w:color="000000" w:sz="4" w:space="0"/>
              <w:bottom w:val="single" w:color="auto" w:sz="4" w:space="0"/>
              <w:right w:val="single" w:color="auto" w:sz="4" w:space="0"/>
            </w:tcBorders>
            <w:tcW w:w="2508" w:type="dxa"/>
            <w:vAlign w:val="center"/>
            <w:textDirection w:val="lrTb"/>
            <w:noWrap w:val="false"/>
          </w:tcPr>
          <w:p>
            <w:pPr>
              <w:keepNext w:val="false"/>
              <w:keepLines w:val="false"/>
              <w:pageBreakBefore w:val="false"/>
              <w:pBdr/>
              <w:spacing w:line="520" w:lineRule="exact"/>
              <w:ind w:firstLine="412"/>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43</w:t>
            </w:r>
            <w:r>
              <w:rPr>
                <w:rFonts w:hint="default" w:ascii="Times New Roman" w:hAnsi="Times New Roman" w:eastAsia="宋体" w:cs="Times New Roman"/>
                <w:color w:val="auto"/>
                <w:sz w:val="24"/>
                <w:szCs w:val="24"/>
                <w:highlight w:val="none"/>
                <w:lang w:val="en-US" w:eastAsia="zh-CN"/>
              </w:rPr>
            </w:r>
          </w:p>
        </w:tc>
      </w:tr>
      <w:tr>
        <w:trPr>
          <w:jc w:val="center"/>
          <w:trHeight w:val="604"/>
        </w:trPr>
        <w:tc>
          <w:tcPr>
            <w:shd w:val="clear" w:color="auto" w:fill="auto"/>
            <w:tcBorders>
              <w:top w:val="none" w:color="000000" w:sz="4" w:space="0"/>
              <w:left w:val="single" w:color="auto"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效果</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20</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508" w:type="dxa"/>
            <w:vAlign w:val="center"/>
            <w:textDirection w:val="lrTb"/>
            <w:noWrap w:val="false"/>
          </w:tcPr>
          <w:p>
            <w:pPr>
              <w:keepNext w:val="false"/>
              <w:keepLines w:val="false"/>
              <w:pageBreakBefore w:val="false"/>
              <w:pBdr/>
              <w:spacing w:line="520" w:lineRule="exact"/>
              <w:ind w:firstLine="412"/>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20</w:t>
            </w:r>
            <w:r>
              <w:rPr>
                <w:rFonts w:hint="default" w:ascii="Times New Roman" w:hAnsi="Times New Roman" w:eastAsia="宋体" w:cs="Times New Roman"/>
                <w:color w:val="auto"/>
                <w:sz w:val="24"/>
                <w:szCs w:val="24"/>
                <w:highlight w:val="none"/>
                <w:lang w:val="en-US" w:eastAsia="zh-CN"/>
              </w:rPr>
            </w:r>
          </w:p>
        </w:tc>
      </w:tr>
      <w:tr>
        <w:trPr>
          <w:jc w:val="center"/>
          <w:trHeight w:val="604"/>
        </w:trPr>
        <w:tc>
          <w:tcPr>
            <w:shd w:val="clear" w:color="auto" w:fill="auto"/>
            <w:tcBorders>
              <w:top w:val="none" w:color="000000" w:sz="4" w:space="0"/>
              <w:left w:val="single" w:color="auto"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合计</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602" w:type="dxa"/>
            <w:vAlign w:val="center"/>
            <w:textDirection w:val="lrTb"/>
            <w:noWrap w:val="false"/>
          </w:tcPr>
          <w:p>
            <w:pPr>
              <w:keepNext w:val="false"/>
              <w:keepLines w:val="false"/>
              <w:pageBreakBefore w:val="false"/>
              <w:widowControl w:val="true"/>
              <w:pBdr/>
              <w:spacing w:line="520" w:lineRule="exact"/>
              <w:ind w:firstLine="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100</w:t>
            </w:r>
            <w:r>
              <w:rPr>
                <w:rFonts w:hint="default" w:ascii="Times New Roman" w:hAnsi="Times New Roman" w:eastAsia="宋体" w:cs="Times New Roman"/>
                <w:color w:val="auto"/>
                <w:sz w:val="24"/>
                <w:szCs w:val="24"/>
                <w:highlight w:val="none"/>
              </w:rPr>
            </w:r>
          </w:p>
        </w:tc>
        <w:tc>
          <w:tcPr>
            <w:shd w:val="clear" w:color="auto" w:fill="auto"/>
            <w:tcBorders>
              <w:top w:val="none" w:color="000000" w:sz="4" w:space="0"/>
              <w:left w:val="none" w:color="000000" w:sz="4" w:space="0"/>
              <w:bottom w:val="single" w:color="auto" w:sz="4" w:space="0"/>
              <w:right w:val="single" w:color="auto" w:sz="4" w:space="0"/>
            </w:tcBorders>
            <w:tcW w:w="2508" w:type="dxa"/>
            <w:vAlign w:val="center"/>
            <w:textDirection w:val="lrTb"/>
            <w:noWrap w:val="false"/>
          </w:tcPr>
          <w:p>
            <w:pPr>
              <w:keepNext w:val="false"/>
              <w:keepLines w:val="false"/>
              <w:pageBreakBefore w:val="false"/>
              <w:pBdr/>
              <w:spacing w:line="520" w:lineRule="exact"/>
              <w:ind w:firstLine="412"/>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84.07</w:t>
            </w:r>
            <w:r>
              <w:rPr>
                <w:rFonts w:hint="default" w:ascii="Times New Roman" w:hAnsi="Times New Roman" w:eastAsia="宋体" w:cs="Times New Roman"/>
                <w:color w:val="auto"/>
                <w:sz w:val="24"/>
                <w:szCs w:val="24"/>
                <w:highlight w:val="none"/>
                <w:lang w:val="en-US" w:eastAsia="zh-CN"/>
              </w:rPr>
            </w:r>
          </w:p>
        </w:tc>
      </w:tr>
    </w:tbl>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4" w:name="_Toc553"/>
      <w:r/>
      <w:bookmarkStart w:id="5" w:name="_Toc147654960"/>
      <w:r>
        <w:rPr>
          <w:rFonts w:hint="default" w:ascii="Times New Roman" w:hAnsi="Times New Roman" w:eastAsia="楷体_GB2312" w:cs="Times New Roman"/>
          <w:color w:val="auto"/>
          <w:sz w:val="32"/>
          <w:szCs w:val="32"/>
          <w:lang w:val="en-US" w:eastAsia="zh-CN"/>
        </w:rPr>
        <w:t xml:space="preserve">1.2绩效评价指标完成情况分析</w:t>
      </w:r>
      <w:bookmarkEnd w:id="4"/>
      <w:r/>
      <w:bookmarkEnd w:id="5"/>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6" w:name="_Toc18309"/>
      <w:r>
        <w:rPr>
          <w:rFonts w:hint="default" w:ascii="Times New Roman" w:hAnsi="Times New Roman" w:eastAsia="楷体_GB2312" w:cs="Times New Roman"/>
          <w:color w:val="auto"/>
          <w:sz w:val="32"/>
          <w:szCs w:val="32"/>
          <w:lang w:val="en-US" w:eastAsia="zh-CN"/>
        </w:rPr>
        <w:t xml:space="preserve">1.2.1决策得7分，扣5分</w:t>
      </w:r>
      <w:bookmarkEnd w:id="6"/>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“绩效目标</w:t>
      </w:r>
      <w:r>
        <w:rPr>
          <w:rFonts w:hint="default" w:ascii="Times New Roman" w:hAnsi="Times New Roman" w:eastAsia="仿宋_GB2312" w:cs="Times New Roman"/>
          <w:color w:val="auto"/>
          <w:sz w:val="32"/>
          <w:szCs w:val="32"/>
          <w:highlight w:val="none"/>
          <w:lang w:eastAsia="zh-CN"/>
        </w:rPr>
        <w:t xml:space="preserve">合理</w:t>
      </w:r>
      <w:r>
        <w:rPr>
          <w:rFonts w:hint="default" w:ascii="Times New Roman" w:hAnsi="Times New Roman" w:eastAsia="仿宋_GB2312" w:cs="Times New Roman"/>
          <w:color w:val="auto"/>
          <w:sz w:val="32"/>
          <w:szCs w:val="32"/>
          <w:highlight w:val="none"/>
        </w:rPr>
        <w:t xml:space="preserve">性” 指标扣</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rPr>
        <w:t xml:space="preserve">分。扣分原因是</w:t>
      </w:r>
      <w:bookmarkStart w:id="7" w:name="_Toc18716"/>
      <w:r>
        <w:rPr>
          <w:rFonts w:hint="default" w:ascii="Times New Roman" w:hAnsi="Times New Roman" w:eastAsia="仿宋_GB2312" w:cs="Times New Roman"/>
          <w:color w:val="auto"/>
          <w:sz w:val="32"/>
          <w:szCs w:val="32"/>
          <w:highlight w:val="none"/>
          <w:lang w:eastAsia="zh-CN"/>
        </w:rPr>
        <w:t xml:space="preserve">数字随州建设项目具体实施的二级项目发生变更，但绩效目标未相应变更</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“绩效目标明确性” 指标扣</w:t>
      </w:r>
      <w:r>
        <w:rPr>
          <w:rFonts w:hint="default" w:ascii="Times New Roman" w:hAnsi="Times New Roman" w:eastAsia="仿宋_GB2312" w:cs="Times New Roman"/>
          <w:color w:val="auto"/>
          <w:sz w:val="32"/>
          <w:szCs w:val="32"/>
          <w:highlight w:val="none"/>
          <w:lang w:val="en-US" w:eastAsia="zh-CN"/>
        </w:rPr>
        <w:t xml:space="preserve">3</w:t>
      </w:r>
      <w:r>
        <w:rPr>
          <w:rFonts w:hint="default" w:ascii="Times New Roman" w:hAnsi="Times New Roman" w:eastAsia="仿宋_GB2312" w:cs="Times New Roman"/>
          <w:color w:val="auto"/>
          <w:sz w:val="32"/>
          <w:szCs w:val="32"/>
          <w:highlight w:val="none"/>
        </w:rPr>
        <w:t xml:space="preserve">分。扣分原因是</w:t>
      </w:r>
      <w:r>
        <w:rPr>
          <w:rFonts w:hint="default" w:ascii="Times New Roman" w:hAnsi="Times New Roman" w:eastAsia="仿宋_GB2312" w:cs="Times New Roman"/>
          <w:color w:val="auto"/>
          <w:sz w:val="32"/>
          <w:szCs w:val="32"/>
          <w:highlight w:val="none"/>
          <w:lang w:eastAsia="zh-CN"/>
        </w:rPr>
        <w:t xml:space="preserve">未设置年度绩效指标，长期绩效指标的二级指标与三级指标的内容不匹配。长期绩效指标设置与二级项目的对应性关系不明确等。</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1.2.2过程得分14.07分，扣5.93分</w:t>
      </w:r>
      <w:bookmarkEnd w:id="7"/>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lang w:eastAsia="zh-CN"/>
        </w:rPr>
        <w:t xml:space="preserve">预算执行率</w:t>
      </w:r>
      <w:r>
        <w:rPr>
          <w:rFonts w:hint="default" w:ascii="Times New Roman" w:hAnsi="Times New Roman" w:eastAsia="仿宋_GB2312" w:cs="Times New Roman"/>
          <w:color w:val="auto"/>
          <w:sz w:val="32"/>
          <w:szCs w:val="32"/>
          <w:highlight w:val="none"/>
        </w:rPr>
        <w:t xml:space="preserve">”指标扣</w:t>
      </w:r>
      <w:r>
        <w:rPr>
          <w:rFonts w:hint="default" w:ascii="Times New Roman" w:hAnsi="Times New Roman" w:eastAsia="仿宋_GB2312" w:cs="Times New Roman"/>
          <w:color w:val="auto"/>
          <w:sz w:val="32"/>
          <w:szCs w:val="32"/>
          <w:highlight w:val="none"/>
          <w:lang w:val="en-US" w:eastAsia="zh-CN"/>
        </w:rPr>
        <w:t xml:space="preserve">1.93</w:t>
      </w:r>
      <w:r>
        <w:rPr>
          <w:rFonts w:hint="default" w:ascii="Times New Roman" w:hAnsi="Times New Roman" w:eastAsia="仿宋_GB2312" w:cs="Times New Roman"/>
          <w:color w:val="auto"/>
          <w:sz w:val="32"/>
          <w:szCs w:val="32"/>
          <w:highlight w:val="none"/>
        </w:rPr>
        <w:t xml:space="preserve">分。扣分原因是</w:t>
      </w:r>
      <w:r>
        <w:rPr>
          <w:rFonts w:hint="default" w:ascii="Times New Roman" w:hAnsi="Times New Roman" w:eastAsia="仿宋_GB2312" w:cs="Times New Roman"/>
          <w:color w:val="auto"/>
          <w:sz w:val="32"/>
          <w:szCs w:val="32"/>
          <w:highlight w:val="none"/>
          <w:lang w:eastAsia="zh-CN"/>
        </w:rPr>
        <w:t xml:space="preserve">按未使用预算资金占比扣除分数。</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lang w:eastAsia="zh-CN"/>
        </w:rPr>
        <w:t xml:space="preserve">管理</w:t>
      </w:r>
      <w:r>
        <w:rPr>
          <w:rFonts w:hint="default" w:ascii="Times New Roman" w:hAnsi="Times New Roman" w:eastAsia="仿宋_GB2312" w:cs="Times New Roman"/>
          <w:color w:val="auto"/>
          <w:sz w:val="32"/>
          <w:szCs w:val="32"/>
          <w:highlight w:val="none"/>
        </w:rPr>
        <w:t xml:space="preserve">制度</w:t>
      </w:r>
      <w:r>
        <w:rPr>
          <w:rFonts w:hint="default" w:ascii="Times New Roman" w:hAnsi="Times New Roman" w:eastAsia="仿宋_GB2312" w:cs="Times New Roman"/>
          <w:color w:val="auto"/>
          <w:sz w:val="32"/>
          <w:szCs w:val="32"/>
          <w:highlight w:val="none"/>
          <w:lang w:eastAsia="zh-CN"/>
        </w:rPr>
        <w:t xml:space="preserve">健全</w:t>
      </w:r>
      <w:r>
        <w:rPr>
          <w:rFonts w:hint="default" w:ascii="Times New Roman" w:hAnsi="Times New Roman" w:eastAsia="仿宋_GB2312" w:cs="Times New Roman"/>
          <w:color w:val="auto"/>
          <w:sz w:val="32"/>
          <w:szCs w:val="32"/>
          <w:highlight w:val="none"/>
        </w:rPr>
        <w:t xml:space="preserve">性”指标扣</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rPr>
        <w:t xml:space="preserve">分。扣分原因是随州市政务服务和大数据管理局没有</w:t>
      </w:r>
      <w:r>
        <w:rPr>
          <w:rFonts w:hint="default" w:ascii="Times New Roman" w:hAnsi="Times New Roman" w:eastAsia="仿宋_GB2312" w:cs="Times New Roman"/>
          <w:color w:val="auto"/>
          <w:sz w:val="32"/>
          <w:szCs w:val="32"/>
          <w:highlight w:val="none"/>
          <w:lang w:eastAsia="zh-CN"/>
        </w:rPr>
        <w:t xml:space="preserve">针对信息化项目、合同方面的内控管理制度</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lang w:eastAsia="zh-CN"/>
        </w:rPr>
        <w:t xml:space="preserve">制度执行（项目管理）有效性</w:t>
      </w:r>
      <w:r>
        <w:rPr>
          <w:rFonts w:hint="default" w:ascii="Times New Roman" w:hAnsi="Times New Roman" w:eastAsia="仿宋_GB2312" w:cs="Times New Roman"/>
          <w:color w:val="auto"/>
          <w:sz w:val="32"/>
          <w:szCs w:val="32"/>
          <w:highlight w:val="none"/>
        </w:rPr>
        <w:t xml:space="preserve">”指标扣</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rPr>
        <w:t xml:space="preserve">分。扣分原因是</w:t>
      </w:r>
      <w:r>
        <w:rPr>
          <w:rFonts w:hint="default" w:ascii="Times New Roman" w:hAnsi="Times New Roman" w:eastAsia="仿宋_GB2312" w:cs="Times New Roman"/>
          <w:color w:val="auto"/>
          <w:sz w:val="32"/>
          <w:szCs w:val="32"/>
          <w:highlight w:val="none"/>
          <w:lang w:eastAsia="zh-CN"/>
        </w:rPr>
        <w:t xml:space="preserve">合同条款未得到有效执行。</w:t>
      </w:r>
      <w:r>
        <w:rPr>
          <w:rFonts w:hint="default" w:ascii="Times New Roman" w:hAnsi="Times New Roman" w:eastAsia="仿宋_GB2312" w:cs="Times New Roman"/>
          <w:color w:val="auto"/>
          <w:sz w:val="32"/>
          <w:szCs w:val="32"/>
          <w:highlight w:val="none"/>
          <w:lang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8" w:name="_Toc3842"/>
      <w:r>
        <w:rPr>
          <w:rFonts w:hint="default" w:ascii="Times New Roman" w:hAnsi="Times New Roman" w:eastAsia="楷体_GB2312" w:cs="Times New Roman"/>
          <w:color w:val="auto"/>
          <w:sz w:val="32"/>
          <w:szCs w:val="32"/>
          <w:lang w:val="en-US" w:eastAsia="zh-CN"/>
        </w:rPr>
        <w:t xml:space="preserve">1.2.3产出得分43分，扣5分</w:t>
      </w:r>
      <w:bookmarkEnd w:id="8"/>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“产出</w:t>
      </w:r>
      <w:r>
        <w:rPr>
          <w:rFonts w:hint="default" w:ascii="Times New Roman" w:hAnsi="Times New Roman" w:eastAsia="仿宋_GB2312" w:cs="Times New Roman"/>
          <w:color w:val="auto"/>
          <w:sz w:val="32"/>
          <w:szCs w:val="32"/>
          <w:highlight w:val="none"/>
          <w:lang w:eastAsia="zh-CN"/>
        </w:rPr>
        <w:t xml:space="preserve">质量</w:t>
      </w:r>
      <w:r>
        <w:rPr>
          <w:rFonts w:hint="default" w:ascii="Times New Roman" w:hAnsi="Times New Roman" w:eastAsia="仿宋_GB2312" w:cs="Times New Roman"/>
          <w:color w:val="auto"/>
          <w:sz w:val="32"/>
          <w:szCs w:val="32"/>
          <w:highlight w:val="none"/>
        </w:rPr>
        <w:t xml:space="preserve">”指标扣</w:t>
      </w:r>
      <w:r>
        <w:rPr>
          <w:rFonts w:hint="default" w:ascii="Times New Roman" w:hAnsi="Times New Roman" w:eastAsia="仿宋_GB2312" w:cs="Times New Roman"/>
          <w:color w:val="auto"/>
          <w:sz w:val="32"/>
          <w:szCs w:val="32"/>
          <w:highlight w:val="none"/>
          <w:lang w:val="en-US" w:eastAsia="zh-CN"/>
        </w:rPr>
        <w:t xml:space="preserve">1</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rPr>
        <w:t xml:space="preserve">扣分原因是</w:t>
      </w:r>
      <w:r>
        <w:rPr>
          <w:rFonts w:hint="default" w:ascii="Times New Roman" w:hAnsi="Times New Roman" w:eastAsia="仿宋_GB2312" w:cs="Times New Roman"/>
          <w:color w:val="auto"/>
          <w:sz w:val="32"/>
          <w:szCs w:val="32"/>
          <w:highlight w:val="none"/>
          <w:lang w:eastAsia="zh-CN"/>
        </w:rPr>
        <w:t xml:space="preserve">个别数字随州建设二级项目验收单要素不全</w:t>
      </w:r>
      <w:r>
        <w:rPr>
          <w:rFonts w:hint="default" w:ascii="Times New Roman" w:hAnsi="Times New Roman" w:eastAsia="仿宋_GB2312" w:cs="Times New Roman"/>
          <w:color w:val="auto"/>
          <w:sz w:val="32"/>
          <w:szCs w:val="32"/>
          <w:highlight w:val="none"/>
        </w:rPr>
        <w:t xml:space="preserve">。</w:t>
      </w:r>
      <w:bookmarkStart w:id="9" w:name="_Toc19182"/>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“产出时效”指标扣</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分。扣分原因是</w:t>
      </w:r>
      <w:r>
        <w:rPr>
          <w:rFonts w:hint="default" w:ascii="Times New Roman" w:hAnsi="Times New Roman" w:eastAsia="仿宋_GB2312" w:cs="Times New Roman"/>
          <w:color w:val="auto"/>
          <w:sz w:val="32"/>
          <w:szCs w:val="32"/>
          <w:highlight w:val="none"/>
          <w:lang w:eastAsia="zh-CN"/>
        </w:rPr>
        <w:t xml:space="preserve">数字随州建设</w:t>
      </w:r>
      <w:r>
        <w:rPr>
          <w:rFonts w:hint="default" w:ascii="Times New Roman" w:hAnsi="Times New Roman" w:eastAsia="仿宋_GB2312" w:cs="Times New Roman"/>
          <w:color w:val="auto"/>
          <w:sz w:val="32"/>
          <w:szCs w:val="32"/>
          <w:highlight w:val="none"/>
          <w:lang w:val="en-US" w:eastAsia="zh-CN"/>
        </w:rPr>
        <w:t xml:space="preserve">8个二级</w:t>
      </w:r>
      <w:r>
        <w:rPr>
          <w:rFonts w:hint="default" w:ascii="Times New Roman" w:hAnsi="Times New Roman" w:eastAsia="仿宋_GB2312" w:cs="Times New Roman"/>
          <w:color w:val="auto"/>
          <w:sz w:val="32"/>
          <w:szCs w:val="32"/>
          <w:highlight w:val="none"/>
          <w:lang w:eastAsia="zh-CN"/>
        </w:rPr>
        <w:t xml:space="preserve">项目终验时间都超过了合同规定的时间</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0" w:name="_Toc147654961"/>
      <w:r>
        <w:rPr>
          <w:rFonts w:hint="default" w:ascii="Times New Roman" w:hAnsi="Times New Roman" w:eastAsia="楷体_GB2312" w:cs="Times New Roman"/>
          <w:color w:val="auto"/>
          <w:sz w:val="32"/>
          <w:szCs w:val="32"/>
          <w:lang w:val="en-US" w:eastAsia="zh-CN"/>
        </w:rPr>
        <w:t xml:space="preserve">1.3存在的问题</w:t>
      </w:r>
      <w:bookmarkEnd w:id="9"/>
      <w:r/>
      <w:bookmarkEnd w:id="10"/>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1" w:name="_Toc32282"/>
      <w:r/>
      <w:bookmarkStart w:id="12" w:name="_Toc147654962"/>
      <w:r>
        <w:rPr>
          <w:rFonts w:hint="default" w:ascii="Times New Roman" w:hAnsi="Times New Roman" w:eastAsia="楷体_GB2312" w:cs="Times New Roman"/>
          <w:color w:val="auto"/>
          <w:sz w:val="32"/>
          <w:szCs w:val="32"/>
          <w:lang w:val="en-US" w:eastAsia="zh-CN"/>
        </w:rPr>
        <w:t xml:space="preserve">1.3.1决策</w:t>
      </w:r>
      <w:bookmarkEnd w:id="11"/>
      <w:r/>
      <w:bookmarkEnd w:id="12"/>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1.3.1.1绩效指标不合理</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bidi="ar-SA"/>
        </w:rPr>
        <w:t xml:space="preserve">2023年度数字随州建设项目绩效目标完全照搬</w:t>
      </w:r>
      <w:r>
        <w:rPr>
          <w:rFonts w:hint="default" w:ascii="Times New Roman" w:hAnsi="Times New Roman" w:eastAsia="仿宋_GB2312" w:cs="Times New Roman"/>
          <w:color w:val="auto"/>
          <w:sz w:val="32"/>
          <w:szCs w:val="32"/>
          <w:highlight w:val="none"/>
          <w:lang w:val="en-US" w:eastAsia="zh-CN"/>
        </w:rPr>
        <w:t xml:space="preserve">数字随州项目的长期绩效目标，</w:t>
      </w:r>
      <w:r>
        <w:rPr>
          <w:rFonts w:hint="default" w:ascii="Times New Roman" w:hAnsi="Times New Roman" w:eastAsia="仿宋_GB2312" w:cs="Times New Roman"/>
          <w:color w:val="auto"/>
          <w:sz w:val="32"/>
          <w:szCs w:val="32"/>
          <w:lang w:val="en-US" w:eastAsia="zh-CN" w:bidi="ar-SA"/>
        </w:rPr>
        <w:t xml:space="preserve">与数字随州项目2023年实施的具体</w:t>
      </w:r>
      <w:r>
        <w:rPr>
          <w:rFonts w:hint="default" w:ascii="Times New Roman" w:hAnsi="Times New Roman" w:eastAsia="仿宋_GB2312" w:cs="Times New Roman"/>
          <w:color w:val="auto"/>
          <w:sz w:val="32"/>
          <w:szCs w:val="32"/>
          <w:highlight w:val="none"/>
          <w:lang w:val="en-US" w:eastAsia="zh-CN"/>
        </w:rPr>
        <w:t xml:space="preserve">二级项目对应关系并不明显。</w:t>
      </w:r>
      <w:r>
        <w:rPr>
          <w:rFonts w:hint="default" w:ascii="Times New Roman" w:hAnsi="Times New Roman" w:eastAsia="仿宋_GB2312" w:cs="Times New Roman"/>
          <w:color w:val="auto"/>
          <w:sz w:val="32"/>
          <w:szCs w:val="32"/>
          <w:lang w:val="en-US" w:eastAsia="zh-CN" w:bidi="ar-SA"/>
        </w:rPr>
        <w:t xml:space="preserve">随州市政务服务和大数据管理局</w:t>
      </w:r>
      <w:r>
        <w:rPr>
          <w:rFonts w:hint="default" w:ascii="Times New Roman" w:hAnsi="Times New Roman" w:eastAsia="仿宋_GB2312" w:cs="Times New Roman"/>
          <w:color w:val="auto"/>
          <w:sz w:val="32"/>
          <w:szCs w:val="32"/>
          <w:highlight w:val="none"/>
          <w:lang w:val="en-US" w:eastAsia="zh-CN" w:bidi="ar-SA"/>
        </w:rPr>
        <w:t xml:space="preserve">向市财政局申报的2023数字随州二级项目与实际实施的数字随州二级项目并不一致</w:t>
      </w:r>
      <w:r>
        <w:rPr>
          <w:rFonts w:hint="default" w:ascii="Times New Roman" w:hAnsi="Times New Roman" w:eastAsia="仿宋_GB2312" w:cs="Times New Roman"/>
          <w:color w:val="auto"/>
          <w:sz w:val="32"/>
          <w:szCs w:val="32"/>
          <w:highlight w:val="none"/>
          <w:lang w:val="en-US" w:eastAsia="zh-CN"/>
        </w:rPr>
        <w:t xml:space="preserve">，数字随州建设的具体项目发生了变化，但相应的年度绩效目标没有进行变更。</w:t>
      </w:r>
      <w:r>
        <w:rPr>
          <w:rFonts w:hint="default" w:ascii="Times New Roman" w:hAnsi="Times New Roman" w:eastAsia="仿宋_GB2312" w:cs="Times New Roman"/>
          <w:color w:val="auto"/>
          <w:sz w:val="32"/>
          <w:szCs w:val="32"/>
          <w:highlight w:val="none"/>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1.3.1.2绩效指标不明确</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bookmarkStart w:id="13" w:name="_Toc8089"/>
      <w:r/>
      <w:bookmarkStart w:id="14" w:name="_Toc147654963"/>
      <w:r>
        <w:rPr>
          <w:rFonts w:hint="default" w:ascii="Times New Roman" w:hAnsi="Times New Roman" w:eastAsia="仿宋_GB2312" w:cs="Times New Roman"/>
          <w:color w:val="auto"/>
          <w:sz w:val="32"/>
          <w:szCs w:val="32"/>
          <w:highlight w:val="none"/>
          <w:lang w:eastAsia="zh-CN"/>
        </w:rPr>
        <w:t xml:space="preserve">随州市政务服务和大数据管理局向财政申报的</w:t>
      </w:r>
      <w:r>
        <w:rPr>
          <w:rFonts w:hint="default" w:ascii="Times New Roman" w:hAnsi="Times New Roman" w:eastAsia="仿宋_GB2312" w:cs="Times New Roman"/>
          <w:color w:val="auto"/>
          <w:sz w:val="32"/>
          <w:szCs w:val="32"/>
          <w:highlight w:val="none"/>
          <w:lang w:val="en-US" w:eastAsia="zh-CN"/>
        </w:rPr>
        <w:t xml:space="preserve">2023年度</w:t>
      </w:r>
      <w:r>
        <w:rPr>
          <w:rFonts w:hint="default" w:ascii="Times New Roman" w:hAnsi="Times New Roman" w:eastAsia="仿宋_GB2312" w:cs="Times New Roman"/>
          <w:color w:val="auto"/>
          <w:sz w:val="32"/>
          <w:szCs w:val="32"/>
          <w:highlight w:val="none"/>
          <w:lang w:eastAsia="zh-CN"/>
        </w:rPr>
        <w:t xml:space="preserve">项目绩效目标和指标、指标值存在如下问题：一是只有长期绩效目标，没有年度绩效指标。二是长期绩效指标的设置不合理，如二级指标社会成本设置了打造数字应用案例、政务资源共享交换次数、运行稳定性、基础设施改造次数值</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lang w:eastAsia="zh-CN"/>
        </w:rPr>
        <w:t xml:space="preserve">个三级指标，三级指标内容与二级指标的成本属性并不匹配。三是绩效指标不明确。数字随州涉及的二级项目众多，但长期绩效指标设置与项目的对应性关系不明确，实际指标值无法获取。四是目标指标值的设置没有依据</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1.3.2过程</w:t>
      </w:r>
      <w:bookmarkEnd w:id="13"/>
      <w:r/>
      <w:bookmarkEnd w:id="14"/>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1.3.2.1预算执行率低</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outlineLvl w:val="2"/>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截止</w:t>
      </w:r>
      <w:r>
        <w:rPr>
          <w:rFonts w:hint="default" w:ascii="Times New Roman" w:hAnsi="Times New Roman" w:eastAsia="仿宋_GB2312" w:cs="Times New Roman"/>
          <w:color w:val="auto"/>
          <w:sz w:val="32"/>
          <w:szCs w:val="32"/>
          <w:highlight w:val="none"/>
          <w:lang w:eastAsia="zh-CN"/>
        </w:rPr>
        <w:t xml:space="preserve">202</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val="en-US" w:eastAsia="zh-CN"/>
        </w:rPr>
        <w:t xml:space="preserve">7</w:t>
      </w:r>
      <w:r>
        <w:rPr>
          <w:rFonts w:hint="default" w:ascii="Times New Roman" w:hAnsi="Times New Roman" w:eastAsia="仿宋_GB2312" w:cs="Times New Roman"/>
          <w:color w:val="auto"/>
          <w:sz w:val="32"/>
          <w:szCs w:val="32"/>
          <w:highlight w:val="none"/>
        </w:rPr>
        <w:t xml:space="preserve">月31日，</w:t>
      </w:r>
      <w:r>
        <w:rPr>
          <w:rFonts w:hint="default" w:ascii="Times New Roman" w:hAnsi="Times New Roman" w:eastAsia="仿宋_GB2312" w:cs="Times New Roman"/>
          <w:color w:val="auto"/>
          <w:sz w:val="32"/>
          <w:szCs w:val="32"/>
          <w:highlight w:val="none"/>
          <w:lang w:eastAsia="zh-CN"/>
        </w:rPr>
        <w:t xml:space="preserve">随州市政务服务和大数据管理局</w:t>
      </w:r>
      <w:r>
        <w:rPr>
          <w:rFonts w:hint="default" w:ascii="Times New Roman" w:hAnsi="Times New Roman" w:eastAsia="仿宋_GB2312" w:cs="Times New Roman"/>
          <w:color w:val="auto"/>
          <w:sz w:val="32"/>
          <w:szCs w:val="32"/>
          <w:highlight w:val="none"/>
        </w:rPr>
        <w:t xml:space="preserve">已实际支付</w:t>
      </w:r>
      <w:r>
        <w:rPr>
          <w:rFonts w:hint="default" w:ascii="Times New Roman" w:hAnsi="Times New Roman" w:eastAsia="仿宋_GB2312" w:cs="Times New Roman"/>
          <w:color w:val="auto"/>
          <w:sz w:val="32"/>
          <w:szCs w:val="32"/>
          <w:highlight w:val="none"/>
          <w:lang w:eastAsia="zh-CN"/>
        </w:rPr>
        <w:t xml:space="preserve">2023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资金</w:t>
      </w:r>
      <w:r>
        <w:rPr>
          <w:rFonts w:hint="default" w:ascii="Times New Roman" w:hAnsi="Times New Roman" w:eastAsia="仿宋_GB2312" w:cs="Times New Roman"/>
          <w:color w:val="auto"/>
          <w:sz w:val="32"/>
          <w:szCs w:val="32"/>
          <w:highlight w:val="none"/>
          <w:lang w:val="en-US" w:eastAsia="zh-CN"/>
        </w:rPr>
        <w:t xml:space="preserve">2597.9</w:t>
      </w:r>
      <w:r>
        <w:rPr>
          <w:rFonts w:hint="default" w:ascii="Times New Roman" w:hAnsi="Times New Roman" w:eastAsia="仿宋_GB2312" w:cs="Times New Roman"/>
          <w:color w:val="auto"/>
          <w:sz w:val="32"/>
          <w:szCs w:val="32"/>
          <w:highlight w:val="none"/>
        </w:rPr>
        <w:t xml:space="preserve">万元，预算执行率</w:t>
      </w:r>
      <w:r>
        <w:rPr>
          <w:rFonts w:hint="default" w:ascii="Times New Roman" w:hAnsi="Times New Roman" w:eastAsia="仿宋_GB2312" w:cs="Times New Roman"/>
          <w:color w:val="auto"/>
          <w:sz w:val="32"/>
          <w:szCs w:val="32"/>
          <w:highlight w:val="none"/>
          <w:lang w:eastAsia="zh-CN"/>
        </w:rPr>
        <w:t xml:space="preserve">只有</w:t>
      </w:r>
      <w:r>
        <w:rPr>
          <w:rFonts w:hint="default" w:ascii="Times New Roman" w:hAnsi="Times New Roman" w:eastAsia="仿宋_GB2312" w:cs="Times New Roman"/>
          <w:color w:val="auto"/>
          <w:sz w:val="32"/>
          <w:szCs w:val="32"/>
          <w:highlight w:val="none"/>
          <w:lang w:val="en-US" w:eastAsia="zh-CN"/>
        </w:rPr>
        <w:t xml:space="preserve">51.96</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1.3.2.2管理制度不健全</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tabs>
          <w:tab w:val="left" w:leader="none" w:pos="6353"/>
        </w:tabs>
        <w:spacing w:line="620" w:lineRule="exact"/>
        <w:ind w:firstLine="640" w:left="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随州市政务服务和大数据管理局没有针</w:t>
      </w:r>
      <w:r>
        <w:rPr>
          <w:rFonts w:hint="default" w:ascii="Times New Roman" w:hAnsi="Times New Roman" w:eastAsia="仿宋_GB2312" w:cs="Times New Roman"/>
          <w:color w:val="auto"/>
          <w:sz w:val="32"/>
          <w:szCs w:val="32"/>
          <w:highlight w:val="none"/>
          <w:lang w:val="zh-CN" w:eastAsia="zh-CN"/>
        </w:rPr>
        <w:t xml:space="preserve">对信息化项目预算、采购、建设、日常维护管理等方面可能存在的风险，制订相应的内控管理制度</w:t>
      </w:r>
      <w:r>
        <w:rPr>
          <w:rFonts w:hint="default" w:ascii="Times New Roman" w:hAnsi="Times New Roman" w:eastAsia="仿宋_GB2312" w:cs="Times New Roman"/>
          <w:color w:val="auto"/>
          <w:sz w:val="32"/>
          <w:szCs w:val="32"/>
          <w:highlight w:val="none"/>
          <w:lang w:eastAsia="zh-CN"/>
        </w:rPr>
        <w:t xml:space="preserve">；没有针对合同订立、执行中可能存在的风险和漏洞，制订相应的合同管理制度。</w:t>
      </w:r>
      <w:r>
        <w:rPr>
          <w:rFonts w:hint="default" w:ascii="Times New Roman" w:hAnsi="Times New Roman" w:eastAsia="仿宋_GB2312" w:cs="Times New Roman"/>
          <w:color w:val="auto"/>
          <w:sz w:val="32"/>
          <w:szCs w:val="32"/>
          <w:highlight w:val="none"/>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1.3.2.3合同管理未到位</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bookmarkStart w:id="15" w:name="_Toc22023"/>
      <w:r/>
      <w:bookmarkStart w:id="16" w:name="_Toc147654964"/>
      <w:r>
        <w:rPr>
          <w:rFonts w:hint="default" w:ascii="Times New Roman" w:hAnsi="Times New Roman" w:eastAsia="仿宋_GB2312" w:cs="Times New Roman"/>
          <w:color w:val="auto"/>
          <w:sz w:val="32"/>
          <w:szCs w:val="32"/>
          <w:highlight w:val="none"/>
          <w:lang w:val="en-US" w:eastAsia="zh-CN"/>
        </w:rPr>
        <w:t xml:space="preserve">2023年数字随州项目实施过程中，少数二级项目存在未按合同规定对供应商进行考核，未据实结算的问题，以及合同部分内容</w:t>
      </w:r>
      <w:r>
        <w:rPr>
          <w:rFonts w:hint="default" w:ascii="Times New Roman" w:hAnsi="Times New Roman" w:eastAsia="仿宋_GB2312" w:cs="Times New Roman"/>
          <w:color w:val="auto"/>
          <w:sz w:val="32"/>
          <w:szCs w:val="32"/>
          <w:lang w:val="en-US" w:eastAsia="zh-CN"/>
        </w:rPr>
        <w:t xml:space="preserve">未完成，但仍按全款结算支付的问题。</w:t>
      </w:r>
      <w:r>
        <w:rPr>
          <w:rFonts w:hint="default" w:ascii="Times New Roman" w:hAnsi="Times New Roman" w:eastAsia="仿宋_GB2312" w:cs="Times New Roman"/>
          <w:color w:val="auto"/>
          <w:sz w:val="32"/>
          <w:szCs w:val="32"/>
          <w:highlight w:val="none"/>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1.3.3产出</w:t>
      </w:r>
      <w:bookmarkEnd w:id="15"/>
      <w:r/>
      <w:bookmarkEnd w:id="16"/>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1.3.3.1验收单要素不全</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 xml:space="preserve">数字随州项目个别二级</w:t>
      </w:r>
      <w:r>
        <w:rPr>
          <w:rFonts w:hint="default" w:ascii="Times New Roman" w:hAnsi="Times New Roman" w:eastAsia="仿宋_GB2312" w:cs="Times New Roman"/>
          <w:color w:val="auto"/>
          <w:sz w:val="32"/>
          <w:szCs w:val="32"/>
          <w:highlight w:val="none"/>
          <w:lang w:val="en-US" w:eastAsia="zh-CN"/>
        </w:rPr>
        <w:t xml:space="preserve">项目存在验收单要素不全，没有验收日期、专家签名，建设单位未盖章的情况</w:t>
      </w:r>
      <w:r>
        <w:rPr>
          <w:rFonts w:hint="default" w:ascii="Times New Roman" w:hAnsi="Times New Roman" w:eastAsia="仿宋_GB2312" w:cs="Times New Roman"/>
          <w:color w:val="auto"/>
          <w:sz w:val="32"/>
          <w:szCs w:val="32"/>
          <w:highlight w:val="none"/>
          <w:lang w:val="en-US" w:eastAsia="zh-CN" w:bidi="ar-SA"/>
        </w:rPr>
        <w:t xml:space="preserve">。</w:t>
      </w:r>
      <w:r>
        <w:rPr>
          <w:rFonts w:hint="default" w:ascii="Times New Roman" w:hAnsi="Times New Roman" w:eastAsia="仿宋_GB2312" w:cs="Times New Roman"/>
          <w:color w:val="auto"/>
          <w:sz w:val="32"/>
          <w:szCs w:val="32"/>
          <w:highlight w:val="none"/>
          <w:lang w:val="en-US" w:eastAsia="zh-CN" w:bidi="ar-SA"/>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1.3.3.2项目未按合同要求及时完成</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bookmarkStart w:id="17" w:name="_Toc3787"/>
      <w:r/>
      <w:bookmarkStart w:id="18" w:name="_Toc147654965"/>
      <w:r>
        <w:rPr>
          <w:rFonts w:hint="default" w:ascii="Times New Roman" w:hAnsi="Times New Roman" w:eastAsia="仿宋_GB2312" w:cs="Times New Roman"/>
          <w:color w:val="auto"/>
          <w:sz w:val="32"/>
          <w:szCs w:val="32"/>
          <w:highlight w:val="none"/>
          <w:lang w:val="en-US" w:eastAsia="zh-CN" w:bidi="ar-SA"/>
        </w:rPr>
        <w:t xml:space="preserve">2023年执行的数字随州8个二级项目都没有在合同规定的时间内完成，最终验收日期延迟时间一般在2-6个月。项目资料中也没有工期延迟的管理资料，项目工期管理存在一定的随意性。</w:t>
      </w:r>
      <w:r>
        <w:rPr>
          <w:rFonts w:hint="default" w:ascii="Times New Roman" w:hAnsi="Times New Roman" w:eastAsia="仿宋_GB2312" w:cs="Times New Roman"/>
          <w:color w:val="auto"/>
          <w:sz w:val="32"/>
          <w:szCs w:val="32"/>
          <w:highlight w:val="none"/>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1.4结果应用建议</w:t>
      </w:r>
      <w:bookmarkEnd w:id="17"/>
      <w:r/>
      <w:bookmarkEnd w:id="18"/>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9" w:name="_Toc147654966"/>
      <w:r/>
      <w:bookmarkStart w:id="20" w:name="_Toc16237"/>
      <w:r>
        <w:rPr>
          <w:rFonts w:hint="default" w:ascii="Times New Roman" w:hAnsi="Times New Roman" w:eastAsia="楷体_GB2312" w:cs="Times New Roman"/>
          <w:color w:val="auto"/>
          <w:sz w:val="32"/>
          <w:szCs w:val="32"/>
          <w:lang w:val="en-US" w:eastAsia="zh-CN"/>
        </w:rPr>
        <w:t xml:space="preserve">1.4.1管理改进</w:t>
      </w:r>
      <w:bookmarkEnd w:id="19"/>
      <w:r/>
      <w:bookmarkEnd w:id="20"/>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1.4.1.1绩效指标要合理、明确</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申报项目绩效目标时，二级项目较多的项目，绩效目标的确定要根据当期具体实施项目的特点进行描述，指标的设置也应和具体的项目匹配，保证绩效目标、指标的合理性、明确性得到落实。</w:t>
      </w:r>
      <w:r>
        <w:rPr>
          <w:rFonts w:hint="default" w:ascii="Times New Roman" w:hAnsi="Times New Roman" w:eastAsia="仿宋_GB2312" w:cs="Times New Roman"/>
          <w:color w:val="auto"/>
          <w:sz w:val="32"/>
          <w:szCs w:val="32"/>
          <w:highlight w:val="none"/>
          <w:lang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1.4.1.2制订信息化项目和合同的内控管理制度</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 xml:space="preserve">针对信息化项目较多以及合同事项发生频繁的情况，尽快制订覆盖信息化项目全生命周期的内控管理制度及合同内控管理制度</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1.4.1.3</w:t>
      </w:r>
      <w:bookmarkStart w:id="21" w:name="_Toc19737"/>
      <w:r>
        <w:rPr>
          <w:rFonts w:hint="default" w:ascii="Times New Roman" w:hAnsi="Times New Roman" w:eastAsia="楷体_GB2312" w:cs="Times New Roman"/>
          <w:color w:val="auto"/>
          <w:sz w:val="32"/>
          <w:szCs w:val="32"/>
          <w:lang w:val="en-US" w:eastAsia="zh-CN"/>
        </w:rPr>
        <w:t xml:space="preserve">加强项目管理</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 xml:space="preserve">加强对合同工期的管理和审批，对项目出现延期，及时分析作出对策，确保项目按期完成。对项目验收高度重视，确保各项验收程序到位、手续齐全，验收结果可信。严格执行合同条款，合同规定的考核条款要落实，工作内容未完成要按实际完成工作量结算</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2" w:name="_Toc147654967"/>
      <w:r>
        <w:rPr>
          <w:rFonts w:hint="default" w:ascii="Times New Roman" w:hAnsi="Times New Roman" w:eastAsia="楷体_GB2312" w:cs="Times New Roman"/>
          <w:color w:val="auto"/>
          <w:sz w:val="32"/>
          <w:szCs w:val="32"/>
          <w:lang w:val="en-US" w:eastAsia="zh-CN"/>
        </w:rPr>
        <w:t xml:space="preserve">1.4.2预算安排</w:t>
      </w:r>
      <w:bookmarkEnd w:id="21"/>
      <w:r/>
      <w:bookmarkEnd w:id="22"/>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eastAsia="zh-CN"/>
        </w:rPr>
      </w:pPr>
      <w:r/>
      <w:bookmarkStart w:id="23" w:name="_Toc28818"/>
      <w:r/>
      <w:bookmarkStart w:id="24" w:name="_Toc147654968"/>
      <w:r>
        <w:rPr>
          <w:rFonts w:hint="default" w:ascii="Times New Roman" w:hAnsi="Times New Roman" w:eastAsia="仿宋_GB2312" w:cs="Times New Roman"/>
          <w:color w:val="auto"/>
          <w:sz w:val="32"/>
          <w:szCs w:val="32"/>
          <w:highlight w:val="none"/>
          <w:lang w:eastAsia="zh-CN"/>
        </w:rPr>
        <w:t xml:space="preserve">数字随州建设项目的二级项目较多，预算安排应针对已落实好的二级项目，避免资金闲置。</w:t>
      </w:r>
      <w:r>
        <w:rPr>
          <w:rFonts w:hint="default" w:ascii="Times New Roman" w:hAnsi="Times New Roman" w:eastAsia="仿宋_GB2312" w:cs="Times New Roman"/>
          <w:color w:val="auto"/>
          <w:sz w:val="32"/>
          <w:szCs w:val="32"/>
          <w:highlight w:val="none"/>
          <w:lang w:eastAsia="zh-CN"/>
        </w:rPr>
      </w:r>
    </w:p>
    <w:p>
      <w:pPr>
        <w:keepNext w:val="false"/>
        <w:keepLines w:val="false"/>
        <w:pageBreakBefore w:val="false"/>
        <w:widowControl w:val="false"/>
        <w:pBdr/>
        <w:spacing w:line="620" w:lineRule="exact"/>
        <w:ind w:firstLine="640"/>
        <w:jc w:val="both"/>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2佐证材料</w:t>
      </w:r>
      <w:bookmarkEnd w:id="23"/>
      <w:r/>
      <w:bookmarkEnd w:id="24"/>
      <w:r/>
      <w:r>
        <w:rPr>
          <w:rFonts w:hint="default" w:ascii="Times New Roman" w:hAnsi="Times New Roman" w:eastAsia="黑体"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5" w:name="_Toc24352"/>
      <w:r/>
      <w:bookmarkStart w:id="26" w:name="_Toc147654969"/>
      <w:r>
        <w:rPr>
          <w:rFonts w:hint="default" w:ascii="Times New Roman" w:hAnsi="Times New Roman" w:eastAsia="楷体_GB2312" w:cs="Times New Roman"/>
          <w:color w:val="auto"/>
          <w:sz w:val="32"/>
          <w:szCs w:val="32"/>
          <w:lang w:val="en-US" w:eastAsia="zh-CN"/>
        </w:rPr>
        <w:t xml:space="preserve">2.1基本情况</w:t>
      </w:r>
      <w:bookmarkEnd w:id="25"/>
      <w:r/>
      <w:bookmarkEnd w:id="26"/>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7" w:name="_Toc147654970"/>
      <w:r/>
      <w:bookmarkStart w:id="28" w:name="_Toc3386"/>
      <w:r>
        <w:rPr>
          <w:rFonts w:hint="default" w:ascii="Times New Roman" w:hAnsi="Times New Roman" w:eastAsia="楷体_GB2312" w:cs="Times New Roman"/>
          <w:color w:val="auto"/>
          <w:sz w:val="32"/>
          <w:szCs w:val="32"/>
          <w:lang w:val="en-US" w:eastAsia="zh-CN"/>
        </w:rPr>
        <w:t xml:space="preserve">2.1.1数字随州建设项目基本情况</w:t>
      </w:r>
      <w:bookmarkEnd w:id="27"/>
      <w:r/>
      <w:bookmarkEnd w:id="28"/>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华文仿宋" w:cs="Times New Roman"/>
          <w:color w:val="auto"/>
          <w:sz w:val="32"/>
          <w:szCs w:val="32"/>
          <w:lang w:val="en-US" w:eastAsia="zh-CN"/>
        </w:rPr>
      </w:pPr>
      <w:r/>
      <w:bookmarkStart w:id="29" w:name="_Toc18320"/>
      <w:r>
        <w:rPr>
          <w:rFonts w:hint="default" w:ascii="Times New Roman" w:hAnsi="Times New Roman" w:eastAsia="华文仿宋" w:cs="Times New Roman"/>
          <w:color w:val="auto"/>
          <w:sz w:val="32"/>
          <w:szCs w:val="32"/>
          <w:lang w:val="en-US" w:eastAsia="zh-CN"/>
        </w:rPr>
        <w:t xml:space="preserve">为深入贯彻落实以习近平同志为核心的党中央关于数字中国的重大战略部署，落实省委十一届七次、八次、九次全会要求，根据《国务院关于在线政务服务的若干规定》（国令第716号）、《湖北省数字政府建设总体规划（2020-2022年）》（鄂政发〔2020〕12号）、《湖北省国民经济和社会发展第十四个五年规划和2035年远景目标纲要》、《省人民政府关于全面推进数字湖北建设的意见》（鄂政发〔2021〕21号）等文件精神，2021年11月12日，随州市人民政府印发《数字随州政府建设实施方案》（随政发</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2021</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11号）。目的是加快推进数字随州建设步伐，聚焦“数字经济、数字社会、数字政府、数字生态”四大重点，加快推动数字产业化、产业数字化，塑造数字经济新优势</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加快提供多样、均等、便捷的全链条全周期社会服务，构建新型数字社会</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加快优化政府数字化服务、运行、治理、决策体系，建成现代化数字政府</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加快完善数字化发展生态，着力提升数字化发展能力，全方位赋能经济社会转型升级，赋能随州高质量发展，为加快建成“汉襄肱骨、神韵随州”提供有力支撑。</w:t>
      </w:r>
      <w:r>
        <w:rPr>
          <w:rFonts w:hint="default" w:ascii="Times New Roman" w:hAnsi="Times New Roman" w:eastAsia="华文仿宋"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 xml:space="preserve">《数字随州政府建设实施方案》（随政发</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2021</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11号）对数字随州的指导思想、建设原则、重点任务、实施步骤等进行了明确。为落实《数字随州政府建设实施方案》，随州市数字随州建设领导小组印发了《2022年数字随州建设重点项目清单》，安排了18个重点项目。18个重点项目总费用概算21607万元。其中随州高新区投资建设5个重点项目，费用概15300万</w:t>
      </w:r>
      <w:r>
        <w:rPr>
          <w:rFonts w:hint="eastAsia" w:ascii="Times New Roman" w:hAnsi="Times New Roman" w:eastAsia="华文仿宋" w:cs="Times New Roman"/>
          <w:color w:val="auto"/>
          <w:sz w:val="32"/>
          <w:szCs w:val="32"/>
          <w:lang w:val="en-US" w:eastAsia="zh-CN"/>
        </w:rPr>
        <w:t xml:space="preserve">；</w:t>
      </w:r>
      <w:r>
        <w:rPr>
          <w:rFonts w:hint="default" w:ascii="Times New Roman" w:hAnsi="Times New Roman" w:eastAsia="华文仿宋" w:cs="Times New Roman"/>
          <w:color w:val="auto"/>
          <w:sz w:val="32"/>
          <w:szCs w:val="32"/>
          <w:lang w:val="en-US" w:eastAsia="zh-CN"/>
        </w:rPr>
        <w:t xml:space="preserve">市财政安排一般债券资金和非税收入建设13个重点项目，费用概算6307 万。项目计划于2022年6月到12月间陆续完工。本次评价主要针对市财政</w:t>
      </w:r>
      <w:r>
        <w:rPr>
          <w:rFonts w:hint="default" w:ascii="Times New Roman" w:hAnsi="Times New Roman" w:eastAsia="华文仿宋" w:cs="Times New Roman"/>
          <w:color w:val="auto"/>
          <w:sz w:val="32"/>
          <w:szCs w:val="32"/>
          <w:lang w:val="en-US" w:eastAsia="zh-CN"/>
        </w:rPr>
        <w:t xml:space="preserve">安</w:t>
      </w:r>
      <w:r>
        <w:rPr>
          <w:rFonts w:hint="default" w:ascii="Times New Roman" w:hAnsi="Times New Roman" w:eastAsia="华文仿宋" w:cs="Times New Roman"/>
          <w:color w:val="auto"/>
          <w:sz w:val="32"/>
          <w:szCs w:val="32"/>
          <w:lang w:val="en-US" w:eastAsia="zh-CN"/>
        </w:rPr>
        <w:t xml:space="preserve">排资金的项目。</w:t>
      </w:r>
      <w:r>
        <w:rPr>
          <w:rFonts w:hint="default" w:ascii="Times New Roman" w:hAnsi="Times New Roman" w:eastAsia="华文仿宋" w:cs="Times New Roman"/>
          <w:color w:val="auto"/>
          <w:sz w:val="32"/>
          <w:szCs w:val="32"/>
          <w:lang w:val="en-US" w:eastAsia="zh-CN"/>
        </w:rPr>
      </w:r>
    </w:p>
    <w:p>
      <w:pPr>
        <w:pStyle w:val="719"/>
        <w:keepNext w:val="false"/>
        <w:keepLines w:val="false"/>
        <w:pageBreakBefore w:val="false"/>
        <w:widowControl w:val="false"/>
        <w:pBdr/>
        <w:spacing w:after="0" w:line="620" w:lineRule="exact"/>
        <w:ind w:firstLine="640"/>
        <w:jc w:val="both"/>
        <w:rPr>
          <w:rFonts w:hint="default" w:ascii="Times New Roman" w:hAnsi="Times New Roman" w:eastAsia="华文仿宋" w:cs="Times New Roman"/>
          <w:color w:val="auto"/>
          <w:sz w:val="32"/>
          <w:szCs w:val="32"/>
          <w:lang w:val="en-US" w:eastAsia="zh-CN" w:bidi="ar-SA"/>
        </w:rPr>
      </w:pPr>
      <w:r>
        <w:rPr>
          <w:rFonts w:hint="default" w:ascii="Times New Roman" w:hAnsi="Times New Roman" w:cs="Times New Roman"/>
          <w:color w:val="auto"/>
          <w:lang w:val="en-US" w:eastAsia="zh-CN"/>
        </w:rPr>
        <w:t xml:space="preserve"> </w:t>
      </w:r>
      <w:r>
        <w:rPr>
          <w:rFonts w:hint="default" w:ascii="Times New Roman" w:hAnsi="Times New Roman" w:eastAsia="华文仿宋" w:cs="Times New Roman"/>
          <w:color w:val="auto"/>
          <w:sz w:val="32"/>
          <w:szCs w:val="32"/>
          <w:lang w:val="en-US" w:eastAsia="zh-CN" w:bidi="ar-SA"/>
        </w:rPr>
        <w:t xml:space="preserve">按照统筹规划、分步实施、应用驱动、急用先行的建设原则，随州市政务服务和大数据管理局2022年、2023年陆续开展了</w:t>
      </w:r>
      <w:r>
        <w:rPr>
          <w:rFonts w:hint="default" w:ascii="Times New Roman" w:hAnsi="Times New Roman" w:eastAsia="华文仿宋" w:cs="Times New Roman"/>
          <w:color w:val="auto"/>
          <w:sz w:val="32"/>
          <w:szCs w:val="32"/>
          <w:lang w:val="en-US" w:eastAsia="zh-CN"/>
        </w:rPr>
        <w:t xml:space="preserve">《2022年数字随州建设重点项目清单》中</w:t>
      </w:r>
      <w:r>
        <w:rPr>
          <w:rFonts w:hint="default" w:ascii="Times New Roman" w:hAnsi="Times New Roman" w:eastAsia="华文仿宋" w:cs="Times New Roman"/>
          <w:color w:val="auto"/>
          <w:sz w:val="32"/>
          <w:szCs w:val="32"/>
          <w:lang w:val="en-US" w:eastAsia="zh-CN" w:bidi="ar-SA"/>
        </w:rPr>
        <w:t xml:space="preserve">随州市12345政务服务便民热线智能化整合项目等8个项目的建设活动。各项目的基本情况如下：</w:t>
      </w:r>
      <w:r>
        <w:rPr>
          <w:rFonts w:hint="default" w:ascii="Times New Roman" w:hAnsi="Times New Roman" w:eastAsia="华文仿宋" w:cs="Times New Roman"/>
          <w:color w:val="auto"/>
          <w:sz w:val="32"/>
          <w:szCs w:val="32"/>
          <w:lang w:val="en-US" w:eastAsia="zh-CN" w:bidi="ar-SA"/>
        </w:rPr>
      </w:r>
    </w:p>
    <w:tbl>
      <w:tblPr>
        <w:tblStyle w:val="716"/>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left w:w="108" w:type="dxa"/>
          <w:top w:w="0" w:type="dxa"/>
          <w:right w:w="108" w:type="dxa"/>
          <w:bottom w:w="0" w:type="dxa"/>
        </w:tblCellMar>
        <w:tblLook w:val="04A0" w:firstRow="1" w:lastRow="0" w:firstColumn="1" w:lastColumn="0" w:noHBand="0" w:noVBand="1"/>
      </w:tblPr>
      <w:tblGrid>
        <w:gridCol w:w="626"/>
        <w:gridCol w:w="2837"/>
        <w:gridCol w:w="1441"/>
        <w:gridCol w:w="1234"/>
        <w:gridCol w:w="1666"/>
        <w:gridCol w:w="1767"/>
      </w:tblGrid>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序号</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项目名称</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项目单位</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合同金额</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合同签订时间</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验收日期</w:t>
            </w:r>
            <w:r>
              <w:rPr>
                <w:rFonts w:hint="default" w:ascii="Times New Roman" w:hAnsi="Times New Roman" w:eastAsia="黑体" w:cs="Times New Roman"/>
                <w:b w:val="0"/>
                <w:bCs w:val="0"/>
                <w:i w:val="0"/>
                <w:iCs w:val="0"/>
                <w:color w:val="auto"/>
                <w:sz w:val="20"/>
                <w:szCs w:val="20"/>
                <w:u w:val="none"/>
              </w:rPr>
            </w:r>
          </w:p>
        </w:tc>
      </w:tr>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随州市12345政务服务便民热线智能化整合项目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市政数局</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4,591,160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2022-01-05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2023/4/25终验</w:t>
            </w:r>
            <w:r>
              <w:rPr>
                <w:rFonts w:hint="default" w:ascii="Times New Roman" w:hAnsi="Times New Roman" w:eastAsia="宋体" w:cs="Times New Roman"/>
                <w:i w:val="0"/>
                <w:iCs w:val="0"/>
                <w:color w:val="auto"/>
                <w:sz w:val="20"/>
                <w:szCs w:val="20"/>
                <w:u w:val="none"/>
              </w:rPr>
            </w:r>
          </w:p>
        </w:tc>
      </w:tr>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随州市互联网+监管平台项目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市政数局</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2,486,000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2022-12-28</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验收要素不全</w:t>
            </w:r>
            <w:r>
              <w:rPr>
                <w:rFonts w:hint="default" w:ascii="Times New Roman" w:hAnsi="Times New Roman" w:eastAsia="宋体" w:cs="Times New Roman"/>
                <w:i w:val="0"/>
                <w:iCs w:val="0"/>
                <w:color w:val="auto"/>
                <w:sz w:val="20"/>
                <w:szCs w:val="20"/>
                <w:u w:val="none"/>
              </w:rPr>
            </w:r>
          </w:p>
        </w:tc>
      </w:tr>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3</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随州市大数据中心电子证件照系统升级项目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2,770,000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2023-01-03</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2023-10-25</w:t>
            </w:r>
            <w:r>
              <w:rPr>
                <w:rFonts w:hint="default" w:ascii="Times New Roman" w:hAnsi="Times New Roman" w:eastAsia="宋体" w:cs="Times New Roman"/>
                <w:i w:val="0"/>
                <w:iCs w:val="0"/>
                <w:color w:val="auto"/>
                <w:sz w:val="20"/>
                <w:szCs w:val="20"/>
                <w:u w:val="none"/>
              </w:rPr>
            </w:r>
          </w:p>
        </w:tc>
      </w:tr>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鄂汇办2022年建设项目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3,179,000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2023-01-03</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2023-11-03</w:t>
            </w:r>
            <w:r>
              <w:rPr>
                <w:rFonts w:hint="default" w:ascii="Times New Roman" w:hAnsi="Times New Roman" w:eastAsia="宋体" w:cs="Times New Roman"/>
                <w:i w:val="0"/>
                <w:iCs w:val="0"/>
                <w:color w:val="auto"/>
                <w:sz w:val="20"/>
                <w:szCs w:val="20"/>
                <w:u w:val="none"/>
              </w:rPr>
            </w:r>
          </w:p>
        </w:tc>
      </w:tr>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共享交换平台升级项目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1,295,000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2023-01-13</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2023-10-27</w:t>
            </w:r>
            <w:r>
              <w:rPr>
                <w:rFonts w:hint="default" w:ascii="Times New Roman" w:hAnsi="Times New Roman" w:eastAsia="宋体" w:cs="Times New Roman"/>
                <w:i w:val="0"/>
                <w:iCs w:val="0"/>
                <w:color w:val="auto"/>
                <w:sz w:val="20"/>
                <w:szCs w:val="20"/>
                <w:u w:val="none"/>
              </w:rPr>
            </w:r>
          </w:p>
        </w:tc>
      </w:tr>
      <w:tr>
        <w:trPr>
          <w:jc w:val="center"/>
          <w:trHeight w:val="33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6</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政务系统密码建设</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lang w:val="en-US" w:eastAsia="zh-CN" w:bidi="ar-SA"/>
              </w:rPr>
            </w:pPr>
            <w:r>
              <w:rPr>
                <w:rFonts w:hint="default" w:ascii="Times New Roman" w:hAnsi="Times New Roman" w:eastAsia="宋体" w:cs="Times New Roman"/>
                <w:i w:val="0"/>
                <w:iCs w:val="0"/>
                <w:color w:val="auto"/>
                <w:sz w:val="20"/>
                <w:szCs w:val="20"/>
                <w:u w:val="none"/>
                <w:lang w:val="en-US" w:eastAsia="zh-CN" w:bidi="ar"/>
              </w:rPr>
              <w:t xml:space="preserve">2,598,000</w:t>
            </w:r>
            <w:r>
              <w:rPr>
                <w:rFonts w:hint="default" w:ascii="Times New Roman" w:hAnsi="Times New Roman" w:eastAsia="宋体" w:cs="Times New Roman"/>
                <w:i w:val="0"/>
                <w:iCs w:val="0"/>
                <w:color w:val="auto"/>
                <w:sz w:val="20"/>
                <w:szCs w:val="20"/>
                <w:u w:val="none"/>
                <w:lang w:val="en-US" w:eastAsia="zh-CN" w:bidi="ar-SA"/>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合同无签订时间</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2023.12.22初验</w:t>
            </w:r>
            <w:r>
              <w:rPr>
                <w:rFonts w:hint="default" w:ascii="Times New Roman" w:hAnsi="Times New Roman" w:eastAsia="宋体" w:cs="Times New Roman"/>
                <w:i w:val="0"/>
                <w:iCs w:val="0"/>
                <w:color w:val="auto"/>
                <w:sz w:val="20"/>
                <w:szCs w:val="20"/>
                <w:u w:val="none"/>
              </w:rPr>
            </w:r>
          </w:p>
        </w:tc>
      </w:tr>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7</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随州市工程建设项目审批管理系统优化升级</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市住建局</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1,900,000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2022-10-09</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2023-08-29</w:t>
            </w:r>
            <w:r>
              <w:rPr>
                <w:rFonts w:hint="default" w:ascii="Times New Roman" w:hAnsi="Times New Roman" w:eastAsia="宋体" w:cs="Times New Roman"/>
                <w:i w:val="0"/>
                <w:iCs w:val="0"/>
                <w:color w:val="auto"/>
                <w:sz w:val="20"/>
                <w:szCs w:val="20"/>
                <w:u w:val="none"/>
              </w:rPr>
            </w:r>
          </w:p>
        </w:tc>
      </w:tr>
      <w:tr>
        <w:trPr>
          <w:jc w:val="center"/>
          <w:trHeight w:val="370"/>
        </w:trPr>
        <w:tc>
          <w:tcPr>
            <w:shd w:val="clear" w:color="auto" w:fill="auto"/>
            <w:tcBorders>
              <w:top w:val="single" w:color="000000" w:sz="4" w:space="0"/>
              <w:left w:val="single" w:color="000000" w:sz="4" w:space="0"/>
              <w:bottom w:val="single" w:color="000000" w:sz="4" w:space="0"/>
              <w:right w:val="single" w:color="000000" w:sz="4" w:space="0"/>
            </w:tcBorders>
            <w:tcW w:w="62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lang w:val="en-US" w:eastAsia="zh-CN"/>
              </w:rPr>
            </w:pPr>
            <w:r>
              <w:rPr>
                <w:rFonts w:hint="default" w:ascii="Times New Roman" w:hAnsi="Times New Roman" w:eastAsia="宋体" w:cs="Times New Roman"/>
                <w:i w:val="0"/>
                <w:iCs w:val="0"/>
                <w:color w:val="auto"/>
                <w:sz w:val="20"/>
                <w:szCs w:val="20"/>
                <w:u w:val="none"/>
                <w:lang w:val="en-US" w:eastAsia="zh-CN"/>
              </w:rPr>
              <w:t xml:space="preserve">8</w:t>
            </w:r>
            <w:r>
              <w:rPr>
                <w:rFonts w:hint="default" w:ascii="Times New Roman" w:hAnsi="Times New Roman" w:eastAsia="宋体" w:cs="Times New Roman"/>
                <w:i w:val="0"/>
                <w:iCs w:val="0"/>
                <w:color w:val="auto"/>
                <w:sz w:val="20"/>
                <w:szCs w:val="20"/>
                <w:u w:val="none"/>
                <w:lang w:val="en-US" w:eastAsia="zh-CN"/>
              </w:rPr>
            </w:r>
          </w:p>
        </w:tc>
        <w:tc>
          <w:tcPr>
            <w:shd w:val="clear" w:color="auto" w:fill="auto"/>
            <w:tcBorders>
              <w:top w:val="single" w:color="000000" w:sz="4" w:space="0"/>
              <w:left w:val="single" w:color="000000" w:sz="4" w:space="0"/>
              <w:bottom w:val="single" w:color="000000" w:sz="4" w:space="0"/>
              <w:right w:val="single" w:color="000000" w:sz="4" w:space="0"/>
            </w:tcBorders>
            <w:tcW w:w="283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州城市运行管理服务平台（二期）</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441"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市城管执法委</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23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1,470,000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666" w:type="dxa"/>
            <w:vAlign w:val="center"/>
            <w:textDirection w:val="lrTb"/>
            <w:noWrap w:val="false"/>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2023-10-24</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67"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2024/6/24初验</w:t>
            </w:r>
            <w:r>
              <w:rPr>
                <w:rFonts w:hint="default" w:ascii="Times New Roman" w:hAnsi="Times New Roman" w:eastAsia="宋体" w:cs="Times New Roman"/>
                <w:i w:val="0"/>
                <w:iCs w:val="0"/>
                <w:color w:val="auto"/>
                <w:sz w:val="20"/>
                <w:szCs w:val="20"/>
                <w:u w:val="none"/>
              </w:rPr>
            </w:r>
          </w:p>
        </w:tc>
      </w:tr>
    </w:tbl>
    <w:p>
      <w:pPr>
        <w:pStyle w:val="719"/>
        <w:keepNext w:val="false"/>
        <w:keepLines w:val="false"/>
        <w:pageBreakBefore w:val="false"/>
        <w:widowControl w:val="false"/>
        <w:pBdr/>
        <w:spacing w:after="0" w:line="620" w:lineRule="exact"/>
        <w:ind w:firstLine="640"/>
        <w:jc w:val="both"/>
        <w:rPr>
          <w:rFonts w:hint="default" w:ascii="Times New Roman" w:hAnsi="Times New Roman" w:eastAsia="华文仿宋" w:cs="Times New Roman"/>
          <w:color w:val="auto"/>
          <w:sz w:val="32"/>
          <w:szCs w:val="32"/>
          <w:lang w:val="en-US" w:eastAsia="zh-CN"/>
        </w:rPr>
      </w:pPr>
      <w:r/>
      <w:bookmarkStart w:id="30" w:name="_Toc147654971"/>
      <w:r>
        <w:rPr>
          <w:rFonts w:hint="eastAsia" w:ascii="Times New Roman" w:hAnsi="Times New Roman" w:eastAsia="华文仿宋" w:cs="Times New Roman"/>
          <w:color w:val="auto"/>
          <w:sz w:val="32"/>
          <w:szCs w:val="32"/>
          <w:lang w:val="en-US" w:eastAsia="zh-CN"/>
        </w:rPr>
        <w:t xml:space="preserve">各项目的支付情况如下：</w:t>
      </w:r>
      <w:r>
        <w:rPr>
          <w:rFonts w:hint="default" w:ascii="Times New Roman" w:hAnsi="Times New Roman" w:eastAsia="华文仿宋" w:cs="Times New Roman"/>
          <w:color w:val="auto"/>
          <w:sz w:val="32"/>
          <w:szCs w:val="32"/>
          <w:lang w:val="en-US" w:eastAsia="zh-CN"/>
        </w:rPr>
      </w:r>
    </w:p>
    <w:tbl>
      <w:tblPr>
        <w:tblStyle w:val="716"/>
        <w:tblpPr w:horzAnchor="page" w:tblpXSpec="center" w:vertAnchor="text" w:tblpY="35" w:leftFromText="181" w:topFromText="0" w:rightFromText="181" w:bottomFromText="0"/>
        <w:tblW w:w="95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left w:w="0" w:type="dxa"/>
          <w:top w:w="0" w:type="dxa"/>
          <w:right w:w="0" w:type="dxa"/>
          <w:bottom w:w="0" w:type="dxa"/>
        </w:tblCellMar>
        <w:tblLook w:val="04A0" w:firstRow="1" w:lastRow="0" w:firstColumn="1" w:lastColumn="0" w:noHBand="0" w:noVBand="1"/>
      </w:tblPr>
      <w:tblGrid>
        <w:gridCol w:w="565"/>
        <w:gridCol w:w="2184"/>
        <w:gridCol w:w="983"/>
        <w:gridCol w:w="1033"/>
        <w:gridCol w:w="1000"/>
        <w:gridCol w:w="1039"/>
        <w:gridCol w:w="934"/>
        <w:gridCol w:w="889"/>
        <w:gridCol w:w="874"/>
      </w:tblGrid>
      <w:tr>
        <w:trPr>
          <w:jc w:val="center"/>
          <w:trHeight w:val="425"/>
        </w:trPr>
        <w:tc>
          <w:tcPr>
            <w:shd w:val="clear" w:color="auto" w:fill="auto"/>
            <w:tcBorders>
              <w:top w:val="single" w:color="000000" w:sz="4" w:space="0"/>
              <w:left w:val="single" w:color="000000" w:sz="4" w:space="0"/>
              <w:bottom w:val="non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序号</w:t>
            </w:r>
            <w:r>
              <w:rPr>
                <w:rFonts w:hint="eastAsia" w:ascii="黑体" w:hAnsi="黑体" w:eastAsia="黑体" w:cs="黑体"/>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项目名称</w:t>
            </w:r>
            <w:r>
              <w:rPr>
                <w:rFonts w:hint="eastAsia" w:ascii="黑体" w:hAnsi="黑体" w:eastAsia="黑体" w:cs="黑体"/>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单位</w:t>
            </w:r>
            <w:r>
              <w:rPr>
                <w:rFonts w:hint="eastAsia" w:ascii="黑体" w:hAnsi="黑体" w:eastAsia="黑体" w:cs="黑体"/>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合同金额</w:t>
            </w:r>
            <w:r>
              <w:rPr>
                <w:rFonts w:hint="eastAsia" w:ascii="黑体" w:hAnsi="黑体" w:eastAsia="黑体" w:cs="黑体"/>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2023.3</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2023.10</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2024.3</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2024.6</w:t>
            </w:r>
            <w:r>
              <w:rPr>
                <w:rFonts w:hint="default" w:ascii="Times New Roman" w:hAnsi="Times New Roman" w:eastAsia="黑体" w:cs="Times New Roman"/>
                <w:b w:val="0"/>
                <w:bCs w:val="0"/>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黑体" w:cs="Times New Roman"/>
                <w:b w:val="0"/>
                <w:bCs w:val="0"/>
                <w:i w:val="0"/>
                <w:iCs w:val="0"/>
                <w:color w:val="auto"/>
                <w:sz w:val="20"/>
                <w:szCs w:val="20"/>
                <w:u w:val="none"/>
              </w:rPr>
            </w:pPr>
            <w:r>
              <w:rPr>
                <w:rFonts w:hint="default" w:ascii="Times New Roman" w:hAnsi="Times New Roman" w:eastAsia="黑体" w:cs="Times New Roman"/>
                <w:b w:val="0"/>
                <w:bCs w:val="0"/>
                <w:i w:val="0"/>
                <w:iCs w:val="0"/>
                <w:color w:val="auto"/>
                <w:sz w:val="20"/>
                <w:szCs w:val="20"/>
                <w:u w:val="none"/>
                <w:lang w:val="en-US" w:eastAsia="zh-CN" w:bidi="ar"/>
              </w:rPr>
              <w:t xml:space="preserve">未付金额</w:t>
            </w:r>
            <w:r>
              <w:rPr>
                <w:rFonts w:hint="default" w:ascii="Times New Roman" w:hAnsi="Times New Roman" w:eastAsia="黑体" w:cs="Times New Roman"/>
                <w:b w:val="0"/>
                <w:bCs w:val="0"/>
                <w:i w:val="0"/>
                <w:iCs w:val="0"/>
                <w:color w:val="auto"/>
                <w:sz w:val="20"/>
                <w:szCs w:val="20"/>
                <w:u w:val="none"/>
              </w:rPr>
            </w:r>
          </w:p>
        </w:tc>
      </w:tr>
      <w:tr>
        <w:trPr>
          <w:jc w:val="center"/>
          <w:trHeight w:val="688"/>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随州市12345政务服务便民热线智能化整合项目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市政数局</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459.116</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170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103</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140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46.116</w:t>
            </w:r>
            <w:r>
              <w:rPr>
                <w:rFonts w:hint="default" w:ascii="Times New Roman" w:hAnsi="Times New Roman" w:eastAsia="宋体" w:cs="Times New Roman"/>
                <w:i w:val="0"/>
                <w:iCs w:val="0"/>
                <w:color w:val="auto"/>
                <w:sz w:val="20"/>
                <w:szCs w:val="20"/>
                <w:u w:val="none"/>
              </w:rPr>
            </w:r>
          </w:p>
        </w:tc>
      </w:tr>
      <w:tr>
        <w:trPr>
          <w:jc w:val="center"/>
          <w:trHeight w:val="425"/>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随州市互联网+监管平台项目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市政数局</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248.6</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90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55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78</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25.6</w:t>
            </w:r>
            <w:r>
              <w:rPr>
                <w:rFonts w:hint="default" w:ascii="Times New Roman" w:hAnsi="Times New Roman" w:eastAsia="宋体" w:cs="Times New Roman"/>
                <w:i w:val="0"/>
                <w:iCs w:val="0"/>
                <w:color w:val="auto"/>
                <w:sz w:val="20"/>
                <w:szCs w:val="20"/>
                <w:u w:val="none"/>
              </w:rPr>
            </w:r>
          </w:p>
        </w:tc>
      </w:tr>
      <w:tr>
        <w:trPr>
          <w:jc w:val="center"/>
          <w:trHeight w:val="708"/>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3</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随州市大数据中心电子证件照系统升级项目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277</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85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62</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102</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28.0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571"/>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鄂汇办2022年建设项目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317.9</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115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71</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31.9</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571"/>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共享交换平台升级项目</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129.5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29</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48</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12.5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571"/>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6</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政务系统密码建设</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市大数据中心</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271.5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245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26.5</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688"/>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lang w:val="en-US" w:eastAsia="zh-CN"/>
              </w:rPr>
            </w:pPr>
            <w:r>
              <w:rPr>
                <w:rFonts w:hint="default" w:ascii="Times New Roman" w:hAnsi="Times New Roman" w:eastAsia="宋体" w:cs="Times New Roman"/>
                <w:i w:val="0"/>
                <w:iCs w:val="0"/>
                <w:color w:val="auto"/>
                <w:sz w:val="20"/>
                <w:szCs w:val="20"/>
                <w:u w:val="none"/>
                <w:lang w:val="en-US" w:eastAsia="zh-CN"/>
              </w:rPr>
              <w:t xml:space="preserve">7</w:t>
            </w:r>
            <w:r>
              <w:rPr>
                <w:rFonts w:hint="default" w:ascii="Times New Roman" w:hAnsi="Times New Roman" w:eastAsia="宋体" w:cs="Times New Roman"/>
                <w:i w:val="0"/>
                <w:iCs w:val="0"/>
                <w:color w:val="auto"/>
                <w:sz w:val="20"/>
                <w:szCs w:val="20"/>
                <w:u w:val="none"/>
                <w:lang w:val="en-US" w:eastAsia="zh-CN"/>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随州市工程建设项目审批管理系统优化升级</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市住建局</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199</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46</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133</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571"/>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8</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随州城市运行管理服务平台（二期）</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val="false"/>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市城管执法委</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147</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34</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98</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15.0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445"/>
        </w:trPr>
        <w:tc>
          <w:tcPr>
            <w:shd w:val="clear" w:color="auto" w:fill="auto"/>
            <w:tcBorders>
              <w:top w:val="single" w:color="000000" w:sz="4" w:space="0"/>
              <w:left w:val="single" w:color="000000" w:sz="4" w:space="0"/>
              <w:bottom w:val="single" w:color="000000" w:sz="4" w:space="0"/>
              <w:right w:val="single" w:color="000000" w:sz="4" w:space="0"/>
            </w:tcBorders>
            <w:tcW w:w="565"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218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合计</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983" w:type="dxa"/>
            <w:vAlign w:val="center"/>
            <w:textDirection w:val="lrTb"/>
            <w:noWrap/>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033"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lang w:val="en-US" w:eastAsia="zh-CN" w:bidi="ar"/>
              </w:rPr>
            </w:pPr>
            <w:r>
              <w:rPr>
                <w:rFonts w:hint="default" w:ascii="Times New Roman" w:hAnsi="Times New Roman" w:eastAsia="宋体" w:cs="Times New Roman"/>
                <w:i w:val="0"/>
                <w:iCs w:val="0"/>
                <w:color w:val="auto"/>
                <w:sz w:val="20"/>
                <w:szCs w:val="20"/>
                <w:u w:val="none"/>
                <w:lang w:val="en-US" w:eastAsia="zh-CN" w:bidi="ar"/>
              </w:rPr>
              <w:t xml:space="preserve">2049.616</w:t>
            </w:r>
            <w:r>
              <w:rPr>
                <w:rFonts w:hint="default" w:ascii="Times New Roman" w:hAnsi="Times New Roman" w:eastAsia="宋体" w:cs="Times New Roman"/>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00"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lang w:val="en-US" w:eastAsia="zh-CN" w:bidi="ar"/>
              </w:rPr>
            </w:pPr>
            <w:r>
              <w:rPr>
                <w:rFonts w:hint="default" w:ascii="Times New Roman" w:hAnsi="Times New Roman" w:eastAsia="宋体" w:cs="Times New Roman"/>
                <w:i w:val="0"/>
                <w:iCs w:val="0"/>
                <w:color w:val="auto"/>
                <w:sz w:val="20"/>
                <w:szCs w:val="20"/>
                <w:u w:val="none"/>
                <w:lang w:val="en-US" w:eastAsia="zh-CN" w:bidi="ar"/>
              </w:rPr>
              <w:t xml:space="preserve">500</w:t>
            </w:r>
            <w:r>
              <w:rPr>
                <w:rFonts w:hint="default" w:ascii="Times New Roman" w:hAnsi="Times New Roman" w:eastAsia="宋体" w:cs="Times New Roman"/>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39"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lang w:val="en-US" w:eastAsia="zh-CN" w:bidi="ar"/>
              </w:rPr>
            </w:pPr>
            <w:r>
              <w:rPr>
                <w:rFonts w:hint="default" w:ascii="Times New Roman" w:hAnsi="Times New Roman" w:eastAsia="宋体" w:cs="Times New Roman"/>
                <w:i w:val="0"/>
                <w:iCs w:val="0"/>
                <w:color w:val="auto"/>
                <w:sz w:val="20"/>
                <w:szCs w:val="20"/>
                <w:u w:val="none"/>
                <w:lang w:val="en-US" w:eastAsia="zh-CN" w:bidi="ar"/>
              </w:rPr>
              <w:t xml:space="preserve">400</w:t>
            </w:r>
            <w:r>
              <w:rPr>
                <w:rFonts w:hint="default" w:ascii="Times New Roman" w:hAnsi="Times New Roman" w:eastAsia="宋体" w:cs="Times New Roman"/>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934" w:type="dxa"/>
            <w:vAlign w:val="center"/>
            <w:textDirection w:val="lrTb"/>
            <w:noWrap/>
          </w:tcPr>
          <w:p>
            <w:pPr>
              <w:keepNext w:val="false"/>
              <w:keepLines w:val="false"/>
              <w:pageBreakBefore w:val="false"/>
              <w:widowControl w:val="false"/>
              <w:suppressLineNumbers w:val="false"/>
              <w:pBdr/>
              <w:spacing w:line="280" w:lineRule="exact"/>
              <w:ind w:firstLine="0"/>
              <w:jc w:val="center"/>
              <w:rPr>
                <w:rFonts w:hint="default" w:ascii="Times New Roman" w:hAnsi="Times New Roman" w:eastAsia="宋体" w:cs="Times New Roman"/>
                <w:i w:val="0"/>
                <w:iCs w:val="0"/>
                <w:color w:val="auto"/>
                <w:sz w:val="20"/>
                <w:szCs w:val="20"/>
                <w:u w:val="none"/>
                <w:lang w:val="en-US" w:eastAsia="zh-CN" w:bidi="ar"/>
              </w:rPr>
            </w:pPr>
            <w:r>
              <w:rPr>
                <w:rFonts w:hint="default" w:ascii="Times New Roman" w:hAnsi="Times New Roman" w:eastAsia="宋体" w:cs="Times New Roman"/>
                <w:i w:val="0"/>
                <w:iCs w:val="0"/>
                <w:color w:val="auto"/>
                <w:sz w:val="20"/>
                <w:szCs w:val="20"/>
                <w:u w:val="none"/>
                <w:lang w:val="en-US" w:eastAsia="zh-CN" w:bidi="ar"/>
              </w:rPr>
              <w:t xml:space="preserve">944</w:t>
            </w:r>
            <w:r>
              <w:rPr>
                <w:rFonts w:hint="default" w:ascii="Times New Roman" w:hAnsi="Times New Roman" w:eastAsia="宋体" w:cs="Times New Roman"/>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89"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lang w:val="en-US" w:eastAsia="zh-CN" w:bidi="ar"/>
              </w:rPr>
            </w:pPr>
            <w:r>
              <w:rPr>
                <w:rFonts w:hint="default" w:ascii="Times New Roman" w:hAnsi="Times New Roman" w:eastAsia="宋体" w:cs="Times New Roman"/>
                <w:i w:val="0"/>
                <w:iCs w:val="0"/>
                <w:color w:val="auto"/>
                <w:sz w:val="20"/>
                <w:szCs w:val="20"/>
                <w:u w:val="none"/>
                <w:lang w:val="en-US" w:eastAsia="zh-CN" w:bidi="ar"/>
              </w:rPr>
              <w:t xml:space="preserve">133.9</w:t>
            </w:r>
            <w:r>
              <w:rPr>
                <w:rFonts w:hint="default" w:ascii="Times New Roman" w:hAnsi="Times New Roman" w:eastAsia="宋体" w:cs="Times New Roman"/>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74" w:type="dxa"/>
            <w:vAlign w:val="center"/>
            <w:textDirection w:val="lrTb"/>
            <w:noWrap/>
          </w:tcPr>
          <w:p>
            <w:pPr>
              <w:keepNext w:val="false"/>
              <w:keepLines w:val="false"/>
              <w:pageBreakBefore w:val="false"/>
              <w:widowControl w:val="false"/>
              <w:suppressLineNumbers w:val="false"/>
              <w:pBdr/>
              <w:spacing w:line="280" w:lineRule="exact"/>
              <w:ind w:firstLine="0" w:left="0"/>
              <w:jc w:val="center"/>
              <w:rPr>
                <w:rFonts w:hint="default" w:ascii="Times New Roman" w:hAnsi="Times New Roman" w:eastAsia="宋体" w:cs="Times New Roman"/>
                <w:i w:val="0"/>
                <w:iCs w:val="0"/>
                <w:color w:val="auto"/>
                <w:sz w:val="20"/>
                <w:szCs w:val="20"/>
                <w:u w:val="none"/>
                <w:lang w:val="en-US" w:eastAsia="zh-CN" w:bidi="ar"/>
              </w:rPr>
            </w:pPr>
            <w:r>
              <w:rPr>
                <w:rFonts w:hint="default" w:ascii="Times New Roman" w:hAnsi="Times New Roman" w:eastAsia="宋体" w:cs="Times New Roman"/>
                <w:i w:val="0"/>
                <w:iCs w:val="0"/>
                <w:color w:val="auto"/>
                <w:sz w:val="20"/>
                <w:szCs w:val="20"/>
                <w:u w:val="none"/>
                <w:lang w:val="en-US" w:eastAsia="zh-CN" w:bidi="ar"/>
              </w:rPr>
              <w:t xml:space="preserve">71.716</w:t>
            </w:r>
            <w:r>
              <w:rPr>
                <w:rFonts w:hint="default" w:ascii="Times New Roman" w:hAnsi="Times New Roman" w:eastAsia="宋体" w:cs="Times New Roman"/>
                <w:i w:val="0"/>
                <w:iCs w:val="0"/>
                <w:color w:val="auto"/>
                <w:sz w:val="20"/>
                <w:szCs w:val="20"/>
                <w:u w:val="none"/>
                <w:lang w:val="en-US" w:eastAsia="zh-CN" w:bidi="ar"/>
              </w:rPr>
            </w:r>
          </w:p>
        </w:tc>
      </w:tr>
    </w:tbl>
    <w:p>
      <w:pPr>
        <w:keepNext w:val="false"/>
        <w:keepLines w:val="false"/>
        <w:pageBreakBefore w:val="false"/>
        <w:widowControl w:val="false"/>
        <w:pBdr/>
        <w:spacing w:line="620" w:lineRule="exact"/>
        <w:ind w:firstLine="640"/>
        <w:jc w:val="both"/>
        <w:rPr>
          <w:rFonts w:hint="default" w:ascii="Times New Roman" w:hAnsi="Times New Roman" w:eastAsia="楷体" w:cs="Times New Roman"/>
          <w:color w:val="auto"/>
          <w:sz w:val="32"/>
          <w:szCs w:val="32"/>
          <w:highlight w:val="none"/>
        </w:rPr>
      </w:pPr>
      <w:r>
        <w:rPr>
          <w:rFonts w:hint="default" w:ascii="Times New Roman" w:hAnsi="Times New Roman" w:eastAsia="华文仿宋" w:cs="Times New Roman"/>
          <w:color w:val="auto"/>
          <w:sz w:val="32"/>
          <w:szCs w:val="32"/>
          <w:lang w:val="en-US" w:eastAsia="zh-CN"/>
        </w:rPr>
        <w:t xml:space="preserve">政务系统</w:t>
      </w:r>
      <w:r>
        <w:rPr>
          <w:rFonts w:hint="default" w:ascii="Times New Roman" w:hAnsi="Times New Roman" w:eastAsia="华文仿宋" w:cs="Times New Roman"/>
          <w:color w:val="auto"/>
          <w:sz w:val="32"/>
          <w:szCs w:val="32"/>
          <w:lang w:val="en-US" w:eastAsia="zh-CN" w:bidi="ar-SA"/>
        </w:rPr>
        <w:t xml:space="preserve">密码</w:t>
      </w:r>
      <w:r>
        <w:rPr>
          <w:rFonts w:hint="default" w:ascii="Times New Roman" w:hAnsi="Times New Roman" w:eastAsia="华文仿宋" w:cs="Times New Roman"/>
          <w:color w:val="auto"/>
          <w:sz w:val="32"/>
          <w:szCs w:val="32"/>
          <w:lang w:val="en-US" w:eastAsia="zh-CN"/>
        </w:rPr>
        <w:t xml:space="preserve">建设、工程建设项目审批管理系统优化升级项目支付的款项包括监理、等保测评等其他费用。</w:t>
      </w:r>
      <w:r>
        <w:rPr>
          <w:rFonts w:hint="default" w:ascii="Times New Roman" w:hAnsi="Times New Roman" w:eastAsia="楷体"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2.1.2数字随州建设项目绩效目标</w:t>
      </w:r>
      <w:bookmarkEnd w:id="29"/>
      <w:r/>
      <w:bookmarkEnd w:id="30"/>
      <w:r>
        <w:rPr>
          <w:rFonts w:hint="default" w:ascii="Times New Roman" w:hAnsi="Times New Roman" w:eastAsia="楷体_GB2312" w:cs="Times New Roman"/>
          <w:color w:val="auto"/>
          <w:sz w:val="32"/>
          <w:szCs w:val="32"/>
          <w:lang w:val="en-US" w:eastAsia="zh-CN"/>
        </w:rPr>
        <w:t xml:space="preserve">。</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根据随州市政务服务和大数据管理局向市财政局报送的项目申报资料，2023年数字随州建设项目绩效目标为实现全市政务服务的“一线联通、一门集中、一号申请、一窗受理、一网通办、一库共享、一体运行”，促进服务流程更加优化、服务模式更加多元、服务渠道更加畅通，全力打造一流营商环境。但2023年度没有申报相应的绩效指标。</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随州市政务服务和大数据管理局申报的数字随州建设项目的长期绩效指标如下：</w:t>
      </w:r>
      <w:r>
        <w:rPr>
          <w:rFonts w:hint="default" w:ascii="Times New Roman" w:hAnsi="Times New Roman" w:eastAsia="仿宋_GB2312" w:cs="Times New Roman"/>
          <w:color w:val="auto"/>
          <w:sz w:val="32"/>
          <w:szCs w:val="32"/>
          <w:highlight w:val="none"/>
          <w:lang w:val="en-US" w:eastAsia="zh-CN"/>
        </w:rPr>
      </w:r>
    </w:p>
    <w:tbl>
      <w:tblPr>
        <w:tblStyle w:val="716"/>
        <w:tblW w:w="9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left w:w="108" w:type="dxa"/>
          <w:top w:w="0" w:type="dxa"/>
          <w:right w:w="108" w:type="dxa"/>
          <w:bottom w:w="0" w:type="dxa"/>
        </w:tblCellMar>
        <w:tblLook w:val="04A0" w:firstRow="1" w:lastRow="0" w:firstColumn="1" w:lastColumn="0" w:noHBand="0" w:noVBand="1"/>
      </w:tblPr>
      <w:tblGrid>
        <w:gridCol w:w="830"/>
        <w:gridCol w:w="811"/>
        <w:gridCol w:w="1267"/>
        <w:gridCol w:w="3534"/>
        <w:gridCol w:w="1537"/>
        <w:gridCol w:w="1058"/>
      </w:tblGrid>
      <w:tr>
        <w:trPr>
          <w:jc w:val="center"/>
          <w:trHeight w:val="423"/>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bookmarkStart w:id="31" w:name="_Toc6585"/>
            <w:r/>
            <w:bookmarkStart w:id="32" w:name="_Toc147654972"/>
            <w:r>
              <w:rPr>
                <w:rFonts w:hint="eastAsia" w:ascii="宋体" w:hAnsi="宋体" w:eastAsia="宋体" w:cs="宋体"/>
                <w:i w:val="0"/>
                <w:iCs w:val="0"/>
                <w:color w:val="auto"/>
                <w:sz w:val="20"/>
                <w:szCs w:val="20"/>
                <w:u w:val="none"/>
                <w:lang w:val="en-US" w:eastAsia="zh-CN" w:bidi="ar"/>
              </w:rPr>
              <w:t xml:space="preserve">目标</w:t>
            </w:r>
            <w:r>
              <w:rPr>
                <w:rFonts w:hint="eastAsia" w:ascii="宋体" w:hAnsi="宋体" w:eastAsia="宋体" w:cs="宋体"/>
                <w:i w:val="0"/>
                <w:iCs w:val="0"/>
                <w:color w:val="auto"/>
                <w:sz w:val="20"/>
                <w:szCs w:val="20"/>
                <w:u w:val="none"/>
                <w:lang w:val="en-US" w:eastAsia="zh-CN" w:bidi="ar"/>
              </w:rPr>
            </w:r>
          </w:p>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名称</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一级指标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二级指标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三级指标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指标值</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指标值</w:t>
            </w:r>
            <w:r>
              <w:rPr>
                <w:rFonts w:hint="eastAsia" w:ascii="宋体" w:hAnsi="宋体" w:eastAsia="宋体" w:cs="宋体"/>
                <w:i w:val="0"/>
                <w:iCs w:val="0"/>
                <w:color w:val="auto"/>
                <w:sz w:val="20"/>
                <w:szCs w:val="20"/>
                <w:u w:val="none"/>
                <w:lang w:val="en-US" w:eastAsia="zh-CN" w:bidi="ar"/>
              </w:rPr>
            </w:r>
          </w:p>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确定依据</w:t>
            </w:r>
            <w:r>
              <w:rPr>
                <w:rFonts w:hint="eastAsia" w:ascii="宋体" w:hAnsi="宋体" w:eastAsia="宋体" w:cs="宋体"/>
                <w:i w:val="0"/>
                <w:iCs w:val="0"/>
                <w:color w:val="auto"/>
                <w:sz w:val="20"/>
                <w:szCs w:val="20"/>
                <w:u w:val="none"/>
                <w:lang w:val="en-US" w:eastAsia="zh-CN" w:bidi="ar"/>
              </w:rPr>
            </w:r>
          </w:p>
        </w:tc>
      </w:tr>
      <w:tr>
        <w:trPr>
          <w:jc w:val="center"/>
          <w:trHeight w:val="423"/>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restart"/>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长期绩效目标1</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restart"/>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成本指标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经济成本</w:t>
            </w:r>
            <w:r>
              <w:rPr>
                <w:rFonts w:hint="eastAsia" w:ascii="宋体" w:hAnsi="宋体" w:eastAsia="宋体" w:cs="宋体"/>
                <w:i w:val="0"/>
                <w:iCs w:val="0"/>
                <w:color w:val="auto"/>
                <w:sz w:val="20"/>
                <w:szCs w:val="20"/>
                <w:u w:val="none"/>
                <w:lang w:val="en-US" w:eastAsia="zh-CN" w:bidi="ar"/>
              </w:rPr>
            </w:r>
          </w:p>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left"/>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建设经费</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5000万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suppressLineNumbers w:val="false"/>
              <w:pBdr/>
              <w:spacing w:line="240" w:lineRule="exact"/>
              <w:ind w:firstLine="0"/>
              <w:jc w:val="left"/>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27"/>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restart"/>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社会成本</w:t>
            </w:r>
            <w:r>
              <w:rPr>
                <w:rFonts w:hint="eastAsia" w:ascii="宋体" w:hAnsi="宋体" w:eastAsia="宋体" w:cs="宋体"/>
                <w:i w:val="0"/>
                <w:iCs w:val="0"/>
                <w:color w:val="auto"/>
                <w:sz w:val="20"/>
                <w:szCs w:val="20"/>
                <w:u w:val="none"/>
                <w:lang w:val="en-US" w:eastAsia="zh-CN" w:bidi="ar"/>
              </w:rPr>
              <w:br/>
            </w:r>
            <w:r>
              <w:rPr>
                <w:rFonts w:hint="eastAsia" w:ascii="宋体" w:hAnsi="宋体" w:eastAsia="宋体" w:cs="宋体"/>
                <w:i w:val="0"/>
                <w:iCs w:val="0"/>
                <w:color w:val="auto"/>
                <w:sz w:val="20"/>
                <w:szCs w:val="20"/>
                <w:u w:val="none"/>
                <w:lang w:val="en-US" w:eastAsia="zh-CN" w:bidi="ar"/>
              </w:rPr>
              <w:t xml:space="preserve">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打造数字应用案例</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≥4</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27"/>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政务资源共享交换次数</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≥200000次</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27"/>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运行稳定性</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≥95%</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27"/>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基础设施改造次数</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≥10次</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27"/>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restart"/>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产出指标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数量指标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汇聚政务数据</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≥20亿条</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27"/>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质量指标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数据准确率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≥80%</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545"/>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restart"/>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效益指标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restart"/>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经济效益</w:t>
            </w:r>
            <w:r>
              <w:rPr>
                <w:rFonts w:hint="eastAsia" w:ascii="宋体" w:hAnsi="宋体" w:eastAsia="宋体" w:cs="宋体"/>
                <w:i w:val="0"/>
                <w:iCs w:val="0"/>
                <w:color w:val="auto"/>
                <w:sz w:val="20"/>
                <w:szCs w:val="20"/>
                <w:u w:val="none"/>
                <w:lang w:val="en-US" w:eastAsia="zh-CN" w:bidi="ar"/>
              </w:rPr>
              <w:br/>
            </w:r>
            <w:r>
              <w:rPr>
                <w:rFonts w:hint="eastAsia" w:ascii="宋体" w:hAnsi="宋体" w:eastAsia="宋体" w:cs="宋体"/>
                <w:i w:val="0"/>
                <w:iCs w:val="0"/>
                <w:color w:val="auto"/>
                <w:sz w:val="20"/>
                <w:szCs w:val="20"/>
                <w:u w:val="none"/>
                <w:lang w:val="en-US" w:eastAsia="zh-CN" w:bidi="ar"/>
              </w:rPr>
              <w:t xml:space="preserve">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left="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提高政府面向社会的服务能力，有利于企业提高生产效率。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≥20%</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438"/>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left="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吸纳本地智慧产业服务商参与，带来直接经济收益</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≥1000万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453"/>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社会效益</w:t>
            </w:r>
            <w:r>
              <w:rPr>
                <w:rFonts w:hint="eastAsia" w:ascii="宋体" w:hAnsi="宋体" w:eastAsia="宋体" w:cs="宋体"/>
                <w:i w:val="0"/>
                <w:iCs w:val="0"/>
                <w:color w:val="auto"/>
                <w:sz w:val="20"/>
                <w:szCs w:val="20"/>
                <w:u w:val="none"/>
                <w:lang w:val="en-US" w:eastAsia="zh-CN" w:bidi="ar"/>
              </w:rPr>
              <w:br/>
            </w:r>
            <w:r>
              <w:rPr>
                <w:rFonts w:hint="eastAsia" w:ascii="宋体" w:hAnsi="宋体" w:eastAsia="宋体" w:cs="宋体"/>
                <w:i w:val="0"/>
                <w:iCs w:val="0"/>
                <w:color w:val="auto"/>
                <w:sz w:val="20"/>
                <w:szCs w:val="20"/>
                <w:u w:val="none"/>
                <w:lang w:val="en-US" w:eastAsia="zh-CN" w:bidi="ar"/>
              </w:rPr>
              <w:t xml:space="preserve">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left="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提高公共管理效率、应急处理能力和服务能力</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≥50%</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41"/>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restart"/>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生态效益</w:t>
            </w:r>
            <w:r>
              <w:rPr>
                <w:rFonts w:hint="eastAsia" w:ascii="宋体" w:hAnsi="宋体" w:eastAsia="宋体" w:cs="宋体"/>
                <w:i w:val="0"/>
                <w:iCs w:val="0"/>
                <w:color w:val="auto"/>
                <w:sz w:val="20"/>
                <w:szCs w:val="20"/>
                <w:u w:val="none"/>
                <w:lang w:val="en-US" w:eastAsia="zh-CN" w:bidi="ar"/>
              </w:rPr>
              <w:br/>
            </w:r>
            <w:r>
              <w:rPr>
                <w:rFonts w:hint="eastAsia" w:ascii="宋体" w:hAnsi="宋体" w:eastAsia="宋体" w:cs="宋体"/>
                <w:i w:val="0"/>
                <w:iCs w:val="0"/>
                <w:color w:val="auto"/>
                <w:sz w:val="20"/>
                <w:szCs w:val="20"/>
                <w:u w:val="none"/>
                <w:lang w:val="en-US" w:eastAsia="zh-CN" w:bidi="ar"/>
              </w:rPr>
              <w:t xml:space="preserve">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减少建筑空间消耗</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≥1000平方米</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327"/>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减少电力资源消耗</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≥12万度/年</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r>
        <w:trPr>
          <w:jc w:val="center"/>
          <w:trHeight w:val="852"/>
        </w:trPr>
        <w:tc>
          <w:tcPr>
            <w:shd w:val="clear" w:color="auto" w:fill="auto"/>
            <w:tcBorders>
              <w:top w:val="single" w:color="000000" w:sz="4" w:space="0"/>
              <w:left w:val="single" w:color="000000" w:sz="4" w:space="0"/>
              <w:bottom w:val="single" w:color="000000" w:sz="4" w:space="0"/>
              <w:right w:val="single" w:color="000000" w:sz="4" w:space="0"/>
            </w:tcBorders>
            <w:tcW w:w="830" w:type="dxa"/>
            <w:vAlign w:val="center"/>
            <w:vMerge w:val="continue"/>
            <w:textDirection w:val="lrTb"/>
            <w:noWrap w:val="false"/>
          </w:tcPr>
          <w:p>
            <w:pPr>
              <w:keepNext w:val="false"/>
              <w:keepLines w:val="false"/>
              <w:pageBreakBefore w:val="false"/>
              <w:widowControl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811"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满意度指标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67" w:type="dxa"/>
            <w:vAlign w:val="center"/>
            <w:textDirection w:val="lrTb"/>
            <w:noWrap w:val="false"/>
          </w:tcPr>
          <w:p>
            <w:pPr>
              <w:keepNext w:val="false"/>
              <w:keepLines w:val="false"/>
              <w:pageBreakBefore w:val="false"/>
              <w:widowControl w:val="false"/>
              <w:suppressLineNumbers w:val="false"/>
              <w:pBdr/>
              <w:spacing w:line="240" w:lineRule="exact"/>
              <w:ind w:firstLine="0" w:left="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服务对象满意度指标</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534" w:type="dxa"/>
            <w:vAlign w:val="center"/>
            <w:textDirection w:val="lrTb"/>
            <w:noWrap w:val="false"/>
          </w:tcPr>
          <w:p>
            <w:pPr>
              <w:keepNext w:val="false"/>
              <w:keepLines w:val="false"/>
              <w:pageBreakBefore w:val="false"/>
              <w:widowControl w:val="false"/>
              <w:suppressLineNumbers w:val="false"/>
              <w:pBdr/>
              <w:spacing w:line="240" w:lineRule="exact"/>
              <w:ind w:firstLine="0" w:left="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解决群众关心关注的问题，提高群众生活安全感、幸福感，提升工作人员的便利度</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537" w:type="dxa"/>
            <w:vAlign w:val="center"/>
            <w:textDirection w:val="lrTb"/>
            <w:noWrap w:val="false"/>
          </w:tcPr>
          <w:p>
            <w:pPr>
              <w:keepNext w:val="false"/>
              <w:keepLines w:val="false"/>
              <w:pageBreakBefore w:val="false"/>
              <w:widowControl w:val="false"/>
              <w:suppressLineNumbers w:val="false"/>
              <w:pBdr/>
              <w:spacing w:line="240" w:lineRule="exact"/>
              <w:ind w:firstLine="0"/>
              <w:jc w:val="center"/>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t xml:space="preserve">≥90%</w:t>
            </w:r>
            <w:r>
              <w:rPr>
                <w:rFonts w:hint="eastAsia" w:ascii="宋体" w:hAnsi="宋体" w:eastAsia="宋体" w:cs="宋体"/>
                <w:i w:val="0"/>
                <w:iCs w:val="0"/>
                <w:color w:val="auto"/>
                <w:sz w:val="20"/>
                <w:szCs w:val="20"/>
                <w:u w:val="none"/>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058" w:type="dxa"/>
            <w:vAlign w:val="center"/>
            <w:textDirection w:val="lrTb"/>
            <w:noWrap w:val="false"/>
          </w:tcPr>
          <w:p>
            <w:pPr>
              <w:keepNext w:val="false"/>
              <w:keepLines w:val="false"/>
              <w:pageBreakBefore w:val="false"/>
              <w:widowControl w:val="false"/>
              <w:pBdr/>
              <w:spacing w:line="240" w:lineRule="exact"/>
              <w:ind w:firstLine="0"/>
              <w:jc w:val="both"/>
              <w:rPr>
                <w:rFonts w:hint="eastAsia" w:ascii="宋体" w:hAnsi="宋体" w:eastAsia="宋体" w:cs="宋体"/>
                <w:i w:val="0"/>
                <w:iCs w:val="0"/>
                <w:color w:val="auto"/>
                <w:sz w:val="20"/>
                <w:szCs w:val="20"/>
                <w:u w:val="none"/>
                <w:lang w:val="en-US" w:eastAsia="zh-CN" w:bidi="ar"/>
              </w:rPr>
            </w:pPr>
            <w:r>
              <w:rPr>
                <w:rFonts w:hint="eastAsia" w:ascii="宋体" w:hAnsi="宋体" w:eastAsia="宋体" w:cs="宋体"/>
                <w:i w:val="0"/>
                <w:iCs w:val="0"/>
                <w:color w:val="auto"/>
                <w:sz w:val="20"/>
                <w:szCs w:val="20"/>
                <w:u w:val="none"/>
                <w:lang w:val="en-US" w:eastAsia="zh-CN" w:bidi="ar"/>
              </w:rPr>
            </w:r>
            <w:r>
              <w:rPr>
                <w:rFonts w:hint="eastAsia" w:ascii="宋体" w:hAnsi="宋体" w:eastAsia="宋体" w:cs="宋体"/>
                <w:i w:val="0"/>
                <w:iCs w:val="0"/>
                <w:color w:val="auto"/>
                <w:sz w:val="20"/>
                <w:szCs w:val="20"/>
                <w:u w:val="none"/>
                <w:lang w:val="en-US" w:eastAsia="zh-CN" w:bidi="ar"/>
              </w:rPr>
            </w:r>
          </w:p>
        </w:tc>
      </w:tr>
    </w:tbl>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2.2绩效评价工作开展情况</w:t>
      </w:r>
      <w:bookmarkEnd w:id="31"/>
      <w:r/>
      <w:bookmarkEnd w:id="32"/>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33" w:name="_Toc147654973"/>
      <w:r/>
      <w:bookmarkStart w:id="34" w:name="_Toc8366"/>
      <w:r>
        <w:rPr>
          <w:rFonts w:hint="default" w:ascii="Times New Roman" w:hAnsi="Times New Roman" w:eastAsia="楷体_GB2312" w:cs="Times New Roman"/>
          <w:color w:val="auto"/>
          <w:sz w:val="32"/>
          <w:szCs w:val="32"/>
          <w:lang w:val="en-US" w:eastAsia="zh-CN"/>
        </w:rPr>
        <w:t xml:space="preserve">2.2.1评价目的、对象和范围</w:t>
      </w:r>
      <w:bookmarkEnd w:id="33"/>
      <w:r/>
      <w:bookmarkEnd w:id="34"/>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运用科学、规范、合理的评价方法、评价指标和评分标准，对202</w:t>
      </w:r>
      <w:r>
        <w:rPr>
          <w:rFonts w:hint="default" w:ascii="Times New Roman" w:hAnsi="Times New Roman" w:eastAsia="仿宋_GB2312" w:cs="Times New Roman"/>
          <w:color w:val="auto"/>
          <w:sz w:val="32"/>
          <w:szCs w:val="32"/>
          <w:highlight w:val="none"/>
          <w:lang w:val="en-US" w:eastAsia="zh-CN"/>
        </w:rPr>
        <w:t xml:space="preserve">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资金截止202</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val="en-US" w:eastAsia="zh-CN"/>
        </w:rPr>
        <w:t xml:space="preserve">7</w:t>
      </w:r>
      <w:r>
        <w:rPr>
          <w:rFonts w:hint="default" w:ascii="Times New Roman" w:hAnsi="Times New Roman" w:eastAsia="仿宋_GB2312" w:cs="Times New Roman"/>
          <w:color w:val="auto"/>
          <w:sz w:val="32"/>
          <w:szCs w:val="32"/>
          <w:highlight w:val="none"/>
        </w:rPr>
        <w:t xml:space="preserve">月</w:t>
      </w:r>
      <w:r>
        <w:rPr>
          <w:rFonts w:hint="default" w:ascii="Times New Roman" w:hAnsi="Times New Roman" w:eastAsia="仿宋_GB2312" w:cs="Times New Roman"/>
          <w:color w:val="auto"/>
          <w:sz w:val="32"/>
          <w:szCs w:val="32"/>
          <w:highlight w:val="none"/>
          <w:lang w:val="en-US" w:eastAsia="zh-CN"/>
        </w:rPr>
        <w:t xml:space="preserve">31</w:t>
      </w:r>
      <w:r>
        <w:rPr>
          <w:rFonts w:hint="default" w:ascii="Times New Roman" w:hAnsi="Times New Roman" w:eastAsia="仿宋_GB2312" w:cs="Times New Roman"/>
          <w:color w:val="auto"/>
          <w:sz w:val="32"/>
          <w:szCs w:val="32"/>
          <w:highlight w:val="none"/>
        </w:rPr>
        <w:t xml:space="preserve">日的资金分配、管理、使用、产出及效果进行客观、公正的测量、分析和评判，发现存在问题，并分析问题成因，提出进一步加强资金管理的意见建议。</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35" w:name="_Toc30642"/>
      <w:r/>
      <w:bookmarkStart w:id="36" w:name="_Toc147654974"/>
      <w:r>
        <w:rPr>
          <w:rFonts w:hint="default" w:ascii="Times New Roman" w:hAnsi="Times New Roman" w:eastAsia="楷体_GB2312" w:cs="Times New Roman"/>
          <w:color w:val="auto"/>
          <w:sz w:val="32"/>
          <w:szCs w:val="32"/>
          <w:lang w:val="en-US" w:eastAsia="zh-CN"/>
        </w:rPr>
        <w:t xml:space="preserve">2.2.2评价抽样情况、评价方法、时间安排等</w:t>
      </w:r>
      <w:bookmarkEnd w:id="35"/>
      <w:r/>
      <w:bookmarkEnd w:id="36"/>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2.2.2.1评价抽样情况</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 xml:space="preserve">2023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涉及支出凭证抽查100%。</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2.2.2.2评价方法</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结合</w:t>
      </w:r>
      <w:r>
        <w:rPr>
          <w:rFonts w:hint="default" w:ascii="Times New Roman" w:hAnsi="Times New Roman" w:eastAsia="仿宋_GB2312" w:cs="Times New Roman"/>
          <w:color w:val="auto"/>
          <w:sz w:val="32"/>
          <w:szCs w:val="32"/>
          <w:highlight w:val="none"/>
          <w:lang w:eastAsia="zh-CN"/>
        </w:rPr>
        <w:t xml:space="preserve">2023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的实际情况，本次绩效评价主要采用如下几种评价方法：</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rPr>
        <w:t xml:space="preserve">1</w:t>
      </w:r>
      <w:r>
        <w:rPr>
          <w:rFonts w:hint="eastAsia"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rPr>
        <w:t xml:space="preserve">比较法。是指通过绩效目标与实施效果、历史与当期情况、不同部门和地区同类支出的比较，综合分析绩效目标实现程度。</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rPr>
        <w:t xml:space="preserve">2</w:t>
      </w:r>
      <w:r>
        <w:rPr>
          <w:rFonts w:hint="eastAsia"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rPr>
        <w:t xml:space="preserve">因素分析法。是指综合分析影响绩效目标实现、实施效果的内外部因素，评价绩效目标实现程度的方法。</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rPr>
        <w:t xml:space="preserve">3</w:t>
      </w:r>
      <w:r>
        <w:rPr>
          <w:rFonts w:hint="eastAsia"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rPr>
        <w:t xml:space="preserve">公众评判法。是指通过专家评估、公众问卷及抽样调查等方式进行评判对财政支出效果进行评判，评价绩效目标实现程度的方法。</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2.2.2.3时间安排</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评价工作分为前期准备阶段、现场实施阶段、分析总结阶段三个阶段。时间按</w:t>
      </w:r>
      <w:r>
        <w:rPr>
          <w:rFonts w:hint="default" w:ascii="Times New Roman" w:hAnsi="Times New Roman" w:eastAsia="仿宋_GB2312" w:cs="Times New Roman"/>
          <w:color w:val="auto"/>
          <w:sz w:val="32"/>
          <w:szCs w:val="32"/>
          <w:highlight w:val="none"/>
          <w:lang w:eastAsia="zh-CN"/>
        </w:rPr>
        <w:t xml:space="preserve">随州市</w:t>
      </w:r>
      <w:r>
        <w:rPr>
          <w:rFonts w:hint="default" w:ascii="Times New Roman" w:hAnsi="Times New Roman" w:eastAsia="仿宋_GB2312" w:cs="Times New Roman"/>
          <w:color w:val="auto"/>
          <w:sz w:val="32"/>
          <w:szCs w:val="32"/>
          <w:highlight w:val="none"/>
        </w:rPr>
        <w:t xml:space="preserve">财政局的统一安排进行。</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2.2.2.4评价原则、评价体系和综合评分方法</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评价原则：独立客观、实事求是、科学公正、高效守法。</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根据湖北省绩效评价管理的要求，结合</w:t>
      </w:r>
      <w:r>
        <w:rPr>
          <w:rFonts w:hint="default" w:ascii="Times New Roman" w:hAnsi="Times New Roman" w:eastAsia="仿宋_GB2312" w:cs="Times New Roman"/>
          <w:color w:val="auto"/>
          <w:sz w:val="32"/>
          <w:szCs w:val="32"/>
          <w:highlight w:val="none"/>
          <w:lang w:eastAsia="zh-CN"/>
        </w:rPr>
        <w:t xml:space="preserve">随州市</w:t>
      </w:r>
      <w:r>
        <w:rPr>
          <w:rFonts w:hint="default" w:ascii="Times New Roman" w:hAnsi="Times New Roman" w:eastAsia="仿宋_GB2312" w:cs="Times New Roman"/>
          <w:color w:val="auto"/>
          <w:sz w:val="32"/>
          <w:szCs w:val="32"/>
          <w:highlight w:val="none"/>
        </w:rPr>
        <w:t xml:space="preserve">财政局的意见，我们制订了《</w:t>
      </w:r>
      <w:r>
        <w:rPr>
          <w:rFonts w:hint="default" w:ascii="Times New Roman" w:hAnsi="Times New Roman" w:eastAsia="仿宋_GB2312" w:cs="Times New Roman"/>
          <w:color w:val="auto"/>
          <w:sz w:val="32"/>
          <w:szCs w:val="32"/>
          <w:highlight w:val="none"/>
          <w:lang w:eastAsia="zh-CN"/>
        </w:rPr>
        <w:t xml:space="preserve">2023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绩效评价指标体系》。根据现场评价的实际情况，我们对部分指标进行微调。《</w:t>
      </w:r>
      <w:r>
        <w:rPr>
          <w:rFonts w:hint="default" w:ascii="Times New Roman" w:hAnsi="Times New Roman" w:eastAsia="仿宋_GB2312" w:cs="Times New Roman"/>
          <w:color w:val="auto"/>
          <w:sz w:val="32"/>
          <w:szCs w:val="32"/>
          <w:highlight w:val="none"/>
          <w:lang w:eastAsia="zh-CN"/>
        </w:rPr>
        <w:t xml:space="preserve">2023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绩效评价指标体系》包括一级指标4个，二级指标10个，三级指标2</w:t>
      </w:r>
      <w:r>
        <w:rPr>
          <w:rFonts w:hint="default" w:ascii="Times New Roman" w:hAnsi="Times New Roman" w:eastAsia="仿宋_GB2312" w:cs="Times New Roman"/>
          <w:color w:val="auto"/>
          <w:sz w:val="32"/>
          <w:szCs w:val="32"/>
          <w:highlight w:val="none"/>
          <w:lang w:val="en-US" w:eastAsia="zh-CN"/>
        </w:rPr>
        <w:t xml:space="preserve">0</w:t>
      </w:r>
      <w:r>
        <w:rPr>
          <w:rFonts w:hint="default" w:ascii="Times New Roman" w:hAnsi="Times New Roman" w:eastAsia="仿宋_GB2312" w:cs="Times New Roman"/>
          <w:color w:val="auto"/>
          <w:sz w:val="32"/>
          <w:szCs w:val="32"/>
          <w:highlight w:val="none"/>
        </w:rPr>
        <w:t xml:space="preserve">个。具体情况详见《附1：</w:t>
      </w:r>
      <w:r>
        <w:rPr>
          <w:rFonts w:hint="default" w:ascii="Times New Roman" w:hAnsi="Times New Roman" w:eastAsia="仿宋_GB2312" w:cs="Times New Roman"/>
          <w:color w:val="auto"/>
          <w:sz w:val="32"/>
          <w:szCs w:val="32"/>
          <w:highlight w:val="none"/>
          <w:lang w:eastAsia="zh-CN"/>
        </w:rPr>
        <w:t xml:space="preserve">2023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绩效评价指标体系》</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综合评分法采用定量与定性评价相结合的评价方法，总分由各项指标得分汇总形成。定量指标得分评定方法是与设定标准指标值相比，完成指标值的，该指标得全分</w:t>
      </w:r>
      <w:r>
        <w:rPr>
          <w:rFonts w:hint="eastAsia"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rPr>
        <w:t xml:space="preserve">未完成指标值的，按照完成值与指标值的比例记分。定性指标得分评定方法是将指标分解成多个可评分的具体方面，根据各方面的完成情况分别进行评分，再对各方面的评分进行合计。</w:t>
      </w:r>
      <w:r>
        <w:rPr>
          <w:rFonts w:hint="default" w:ascii="Times New Roman" w:hAnsi="Times New Roman" w:eastAsia="仿宋"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37" w:name="_Toc147654975"/>
      <w:r/>
      <w:bookmarkStart w:id="38" w:name="_Toc2090"/>
      <w:r>
        <w:rPr>
          <w:rFonts w:hint="default" w:ascii="Times New Roman" w:hAnsi="Times New Roman" w:eastAsia="楷体_GB2312" w:cs="Times New Roman"/>
          <w:color w:val="auto"/>
          <w:sz w:val="32"/>
          <w:szCs w:val="32"/>
          <w:lang w:val="en-US" w:eastAsia="zh-CN"/>
        </w:rPr>
        <w:t xml:space="preserve">2.3绩效指标完成情况分析</w:t>
      </w:r>
      <w:bookmarkEnd w:id="37"/>
      <w:r/>
      <w:bookmarkEnd w:id="38"/>
      <w:r/>
      <w:r>
        <w:rPr>
          <w:rFonts w:hint="default" w:ascii="Times New Roman" w:hAnsi="Times New Roman" w:eastAsia="楷体_GB2312" w:cs="Times New Roman"/>
          <w:color w:val="auto"/>
          <w:sz w:val="32"/>
          <w:szCs w:val="32"/>
          <w:lang w:val="en-US"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39" w:name="_Toc147654976"/>
      <w:r>
        <w:rPr>
          <w:rFonts w:hint="default" w:ascii="Times New Roman" w:hAnsi="Times New Roman" w:eastAsia="楷体_GB2312" w:cs="Times New Roman"/>
          <w:color w:val="auto"/>
          <w:sz w:val="32"/>
          <w:szCs w:val="32"/>
          <w:lang w:val="en-US" w:eastAsia="zh-CN"/>
        </w:rPr>
        <w:t xml:space="preserve">2.3.1项目立项（6分）</w:t>
      </w:r>
      <w:bookmarkEnd w:id="39"/>
      <w:r/>
      <w:r>
        <w:rPr>
          <w:rFonts w:hint="default" w:ascii="Times New Roman" w:hAnsi="Times New Roman" w:eastAsia="楷体_GB2312" w:cs="Times New Roman"/>
          <w:color w:val="auto"/>
          <w:sz w:val="32"/>
          <w:szCs w:val="32"/>
          <w:lang w:val="en-US" w:eastAsia="zh-CN"/>
        </w:rPr>
      </w:r>
    </w:p>
    <w:p>
      <w:pPr>
        <w:pStyle w:val="711"/>
        <w:keepNext w:val="false"/>
        <w:keepLines w:val="false"/>
        <w:pageBreakBefore w:val="false"/>
        <w:widowControl w:val="false"/>
        <w:pBdr/>
        <w:spacing w:line="620" w:lineRule="exact"/>
        <w:ind w:firstLine="643"/>
        <w:rPr>
          <w:rFonts w:hint="eastAsia"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2.3.1.1立项依据充分性（3分</w:t>
      </w:r>
      <w:r>
        <w:rPr>
          <w:rFonts w:hint="eastAsia" w:ascii="Times New Roman" w:hAnsi="Times New Roman" w:eastAsia="楷体_GB2312" w:cs="Times New Roman"/>
          <w:color w:val="auto"/>
          <w:sz w:val="32"/>
          <w:szCs w:val="32"/>
          <w:lang w:val="en-US" w:eastAsia="zh-CN"/>
        </w:rPr>
        <w:t xml:space="preserve">）</w:t>
      </w:r>
      <w:r>
        <w:rPr>
          <w:rFonts w:hint="eastAsia"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根据《湖北省数字政府建设总体规划</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2020-2022年</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鄂政发</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2020</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12号</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《湖北省国民经济和社会发展第十四个五年规划和2035年远景目标纲要》《省人民政府关于全面推进数字湖北建设的意见》</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鄂政发</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2021</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21号</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等文件要求，结合随州实际，</w:t>
      </w:r>
      <w:r>
        <w:rPr>
          <w:rFonts w:hint="default" w:ascii="Times New Roman" w:hAnsi="Times New Roman" w:eastAsia="仿宋_GB2312" w:cs="Times New Roman"/>
          <w:color w:val="auto"/>
          <w:sz w:val="32"/>
          <w:szCs w:val="32"/>
          <w:highlight w:val="none"/>
          <w:lang w:eastAsia="zh-CN"/>
        </w:rPr>
        <w:t xml:space="preserve">随州市人民政府开展数字随州建设项目。项目</w:t>
      </w:r>
      <w:r>
        <w:rPr>
          <w:rFonts w:hint="default" w:ascii="Times New Roman" w:hAnsi="Times New Roman" w:eastAsia="仿宋_GB2312" w:cs="Times New Roman"/>
          <w:color w:val="auto"/>
          <w:sz w:val="32"/>
          <w:szCs w:val="32"/>
          <w:highlight w:val="none"/>
        </w:rPr>
        <w:t xml:space="preserve">立项依据充分。</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立项依据充分性指标不扣分，得3分。</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eastAsia"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2.3.1.2立项程序规范性（3分</w:t>
      </w:r>
      <w:r>
        <w:rPr>
          <w:rFonts w:hint="eastAsia" w:ascii="Times New Roman" w:hAnsi="Times New Roman" w:eastAsia="楷体_GB2312" w:cs="Times New Roman"/>
          <w:color w:val="auto"/>
          <w:sz w:val="32"/>
          <w:szCs w:val="32"/>
          <w:lang w:val="en-US" w:eastAsia="zh-CN"/>
        </w:rPr>
        <w:t xml:space="preserve">）</w:t>
      </w:r>
      <w:r>
        <w:rPr>
          <w:rFonts w:hint="eastAsia"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《数字随州建设实施方案》经各市直部门多次讨论、反馈意见，并经市政府常务会议审核通过。</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立项程序规范性指标</w:t>
      </w:r>
      <w:r>
        <w:rPr>
          <w:rFonts w:hint="default" w:ascii="Times New Roman" w:hAnsi="Times New Roman" w:eastAsia="仿宋_GB2312" w:cs="Times New Roman"/>
          <w:color w:val="auto"/>
          <w:sz w:val="32"/>
          <w:szCs w:val="32"/>
          <w:highlight w:val="none"/>
          <w:lang w:eastAsia="zh-CN"/>
        </w:rPr>
        <w:t xml:space="preserve">不</w:t>
      </w:r>
      <w:r>
        <w:rPr>
          <w:rFonts w:hint="default" w:ascii="Times New Roman" w:hAnsi="Times New Roman" w:eastAsia="仿宋_GB2312" w:cs="Times New Roman"/>
          <w:color w:val="auto"/>
          <w:sz w:val="32"/>
          <w:szCs w:val="32"/>
          <w:highlight w:val="none"/>
        </w:rPr>
        <w:t xml:space="preserve">扣分，得</w:t>
      </w:r>
      <w:r>
        <w:rPr>
          <w:rFonts w:hint="default" w:ascii="Times New Roman" w:hAnsi="Times New Roman" w:eastAsia="仿宋_GB2312" w:cs="Times New Roman"/>
          <w:color w:val="auto"/>
          <w:sz w:val="32"/>
          <w:szCs w:val="32"/>
          <w:highlight w:val="none"/>
          <w:lang w:val="en-US" w:eastAsia="zh-CN"/>
        </w:rPr>
        <w:t xml:space="preserve">3</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40" w:name="_Toc19114"/>
      <w:r/>
      <w:bookmarkStart w:id="41" w:name="_Toc147654977"/>
      <w:r>
        <w:rPr>
          <w:rFonts w:hint="default" w:ascii="Times New Roman" w:hAnsi="Times New Roman" w:eastAsia="楷体_GB2312" w:cs="Times New Roman"/>
          <w:color w:val="auto"/>
          <w:sz w:val="32"/>
          <w:szCs w:val="32"/>
          <w:lang w:val="en-US" w:eastAsia="zh-CN"/>
        </w:rPr>
        <w:t xml:space="preserve">2.3.2绩效目标（6分）</w:t>
      </w:r>
      <w:bookmarkEnd w:id="40"/>
      <w:r/>
      <w:bookmarkEnd w:id="41"/>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eastAsia"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2.3.2.1绩效目标合理性（3分</w:t>
      </w:r>
      <w:r>
        <w:rPr>
          <w:rFonts w:hint="eastAsia" w:ascii="Times New Roman" w:hAnsi="Times New Roman" w:eastAsia="楷体_GB2312" w:cs="Times New Roman"/>
          <w:color w:val="auto"/>
          <w:sz w:val="32"/>
          <w:szCs w:val="32"/>
          <w:lang w:val="en-US" w:eastAsia="zh-CN"/>
        </w:rPr>
        <w:t xml:space="preserve">）</w:t>
      </w:r>
      <w:r>
        <w:rPr>
          <w:rFonts w:hint="eastAsia"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bidi="ar-SA"/>
        </w:rPr>
        <w:t xml:space="preserve">2023年数字随州建设项目绩效目标为实现全市政务服务的“一线联通、一门集中、一号申请、一窗受理、一网通办、一库共享、一体运行”，该绩效目也是整个数字随州的绩效目标，与数字随州项目2023年实施的</w:t>
      </w:r>
      <w:r>
        <w:rPr>
          <w:rFonts w:hint="default" w:ascii="Times New Roman" w:hAnsi="Times New Roman" w:eastAsia="仿宋_GB2312" w:cs="Times New Roman"/>
          <w:color w:val="auto"/>
          <w:sz w:val="32"/>
          <w:szCs w:val="32"/>
          <w:highlight w:val="none"/>
          <w:lang w:val="en-US" w:eastAsia="zh-CN"/>
        </w:rPr>
        <w:t xml:space="preserve">12345政务服务便民热线智能化整合项目、互联网+监管平台项目、大数据中心电子证件照系统升级项目、鄂汇办2022年建设项目、共享交换平台升级项目、政务系统密码建设、工程建设项目审批管理系统优化升级、城市运行管理服务平台（二期）等二级项目虽然有关系，但对应关系并不明显。2023年建设内容只是整个数字随州项目的一部分，因此不宜完全照搬数字随州的绩效目标。</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lang w:val="en-US" w:eastAsia="zh-CN" w:bidi="ar-SA"/>
        </w:rPr>
        <w:t xml:space="preserve">随州市政务服务和大数据管理局</w:t>
      </w:r>
      <w:r>
        <w:rPr>
          <w:rFonts w:hint="default" w:ascii="Times New Roman" w:hAnsi="Times New Roman" w:eastAsia="仿宋_GB2312" w:cs="Times New Roman"/>
          <w:color w:val="auto"/>
          <w:sz w:val="32"/>
          <w:szCs w:val="32"/>
          <w:highlight w:val="none"/>
          <w:lang w:val="en-US" w:eastAsia="zh-CN" w:bidi="ar-SA"/>
        </w:rPr>
        <w:t xml:space="preserve">向市财政局报送的2023预算申报的数字随州项目包括城市生命线工程、电子政务外网改造、政务系统密码保障体、政务服务应用升级系4个二级项目5000万元，但实际资金用于支付数字随州项目12345政务服务便民热线智能化整合项目、互联网+监管平台项目、大数据中心电子证件照系统升级项目、鄂汇办2022年建设项目、共享交换平台升级项目、政务系统密码建设、工程建设项目审批管理系统优化升级、城市运行管理服务平台（二期）8个二级项目费用1977.9</w:t>
      </w:r>
      <w:r>
        <w:rPr>
          <w:rFonts w:hint="default" w:ascii="Times New Roman" w:hAnsi="Times New Roman" w:eastAsia="仿宋_GB2312" w:cs="Times New Roman"/>
          <w:color w:val="auto"/>
          <w:sz w:val="32"/>
          <w:szCs w:val="32"/>
          <w:highlight w:val="none"/>
          <w:lang w:val="en-US" w:eastAsia="zh-CN"/>
        </w:rPr>
        <w:t xml:space="preserve">万元，支付随州市城市数字公共基础设施（一期）项目620万元，数字随州建设的具体项目发生了变化，但相应的年度绩效目标没有进行变更。</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绩效目标合理性指标扣</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lang w:eastAsia="zh-CN"/>
        </w:rPr>
        <w:t xml:space="preserve">分，得</w:t>
      </w:r>
      <w:r>
        <w:rPr>
          <w:rFonts w:hint="default" w:ascii="Times New Roman" w:hAnsi="Times New Roman" w:eastAsia="仿宋_GB2312" w:cs="Times New Roman"/>
          <w:color w:val="auto"/>
          <w:sz w:val="32"/>
          <w:szCs w:val="32"/>
          <w:highlight w:val="none"/>
          <w:lang w:val="en-US" w:eastAsia="zh-CN"/>
        </w:rPr>
        <w:t xml:space="preserve">1</w:t>
      </w:r>
      <w:r>
        <w:rPr>
          <w:rFonts w:hint="default" w:ascii="Times New Roman" w:hAnsi="Times New Roman" w:eastAsia="仿宋_GB2312" w:cs="Times New Roman"/>
          <w:color w:val="auto"/>
          <w:sz w:val="32"/>
          <w:szCs w:val="32"/>
          <w:highlight w:val="none"/>
          <w:lang w:eastAsia="zh-CN"/>
        </w:rPr>
        <w:t xml:space="preserve">分。</w:t>
      </w:r>
      <w:r>
        <w:rPr>
          <w:rFonts w:hint="default" w:ascii="Times New Roman" w:hAnsi="Times New Roman" w:eastAsia="仿宋_GB2312" w:cs="Times New Roman"/>
          <w:color w:val="auto"/>
          <w:sz w:val="32"/>
          <w:szCs w:val="32"/>
          <w:highlight w:val="none"/>
          <w:lang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2.3.2.2绩效目标明确性</w:t>
      </w:r>
      <w:r>
        <w:rPr>
          <w:rFonts w:hint="eastAsia" w:ascii="Times New Roman" w:hAnsi="Times New Roman" w:eastAsia="楷体_GB2312" w:cs="Times New Roman"/>
          <w:color w:val="auto"/>
          <w:sz w:val="32"/>
          <w:szCs w:val="32"/>
          <w:lang w:val="en-US" w:eastAsia="zh-CN"/>
        </w:rPr>
        <w:t xml:space="preserve">（</w:t>
      </w:r>
      <w:r>
        <w:rPr>
          <w:rFonts w:hint="default" w:ascii="Times New Roman" w:hAnsi="Times New Roman" w:eastAsia="楷体_GB2312" w:cs="Times New Roman"/>
          <w:color w:val="auto"/>
          <w:sz w:val="32"/>
          <w:szCs w:val="32"/>
          <w:lang w:val="en-US" w:eastAsia="zh-CN"/>
        </w:rPr>
        <w:t xml:space="preserve">3分</w:t>
      </w:r>
      <w:r>
        <w:rPr>
          <w:rFonts w:hint="eastAsia" w:ascii="Times New Roman" w:hAnsi="Times New Roman" w:eastAsia="楷体_GB2312" w:cs="Times New Roman"/>
          <w:color w:val="auto"/>
          <w:sz w:val="32"/>
          <w:szCs w:val="32"/>
          <w:lang w:val="en-US" w:eastAsia="zh-CN"/>
        </w:rPr>
        <w:t xml:space="preserve">）</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 xml:space="preserve">评价发现，随州市政务服务和大数据管理局向财政申报的项目绩效目标和指标、指标值存在如下几个问题：一是只有长期绩效目标，没有年度绩效指标；二是长期绩效指标的设置不合理，如二级指标社会成本设置了打造数字应用案例、政务资源共享交换次数、运行稳定性、基础设施改造次数值四个三级指标，三级指标与二级指标的内容并不匹配。三是绩效指标不明确。数字随州涉及的二级项目众多，但长期绩效指标设置与项目的对应性关系不明确，指标值无法获取。四是指标值的设置没有依据</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绩效目标明确性指标扣</w:t>
      </w:r>
      <w:r>
        <w:rPr>
          <w:rFonts w:hint="default" w:ascii="Times New Roman" w:hAnsi="Times New Roman" w:eastAsia="仿宋_GB2312" w:cs="Times New Roman"/>
          <w:color w:val="auto"/>
          <w:sz w:val="32"/>
          <w:szCs w:val="32"/>
          <w:highlight w:val="none"/>
          <w:lang w:val="en-US" w:eastAsia="zh-CN"/>
        </w:rPr>
        <w:t xml:space="preserve">3</w:t>
      </w:r>
      <w:r>
        <w:rPr>
          <w:rFonts w:hint="default" w:ascii="Times New Roman" w:hAnsi="Times New Roman" w:eastAsia="仿宋_GB2312" w:cs="Times New Roman"/>
          <w:color w:val="auto"/>
          <w:sz w:val="32"/>
          <w:szCs w:val="32"/>
          <w:highlight w:val="none"/>
        </w:rPr>
        <w:t xml:space="preserve">分，得</w:t>
      </w:r>
      <w:r>
        <w:rPr>
          <w:rFonts w:hint="default" w:ascii="Times New Roman" w:hAnsi="Times New Roman" w:eastAsia="仿宋_GB2312" w:cs="Times New Roman"/>
          <w:color w:val="auto"/>
          <w:sz w:val="32"/>
          <w:szCs w:val="32"/>
          <w:highlight w:val="none"/>
          <w:lang w:val="en-US" w:eastAsia="zh-CN"/>
        </w:rPr>
        <w:t xml:space="preserve">0</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42" w:name="_Toc147654979"/>
      <w:r/>
      <w:bookmarkStart w:id="43" w:name="_Toc28597"/>
      <w:r>
        <w:rPr>
          <w:rFonts w:hint="default" w:ascii="Times New Roman" w:hAnsi="Times New Roman" w:eastAsia="楷体_GB2312" w:cs="Times New Roman"/>
          <w:color w:val="auto"/>
          <w:sz w:val="32"/>
          <w:szCs w:val="32"/>
          <w:lang w:val="en-US" w:eastAsia="zh-CN"/>
        </w:rPr>
        <w:t xml:space="preserve">2.3.3资金管理（12分）</w:t>
      </w:r>
      <w:bookmarkEnd w:id="42"/>
      <w:r/>
      <w:bookmarkEnd w:id="43"/>
      <w:r/>
      <w:r>
        <w:rPr>
          <w:rFonts w:hint="default" w:ascii="Times New Roman" w:hAnsi="Times New Roman" w:eastAsia="楷体_GB2312" w:cs="Times New Roman"/>
          <w:color w:val="auto"/>
          <w:sz w:val="32"/>
          <w:szCs w:val="32"/>
          <w:lang w:val="en-US"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2.3.3.1资金到位率（4分）</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数字随州建设重点项目建设虽然由涉及的不同部门来实施，但随州市政务服务和大数据管理局对该项目统筹管理，资金统一拨付和分配。2023年</w:t>
      </w:r>
      <w:r>
        <w:rPr>
          <w:rFonts w:hint="default" w:ascii="Times New Roman" w:hAnsi="Times New Roman" w:eastAsia="仿宋_GB2312" w:cs="Times New Roman"/>
          <w:color w:val="auto"/>
          <w:sz w:val="32"/>
          <w:szCs w:val="32"/>
          <w:highlight w:val="none"/>
          <w:lang w:eastAsia="zh-CN"/>
        </w:rPr>
        <w:t xml:space="preserve">数字随州建设项目批复预算资金</w:t>
      </w:r>
      <w:r>
        <w:rPr>
          <w:rFonts w:hint="default" w:ascii="Times New Roman" w:hAnsi="Times New Roman" w:eastAsia="仿宋_GB2312" w:cs="Times New Roman"/>
          <w:color w:val="auto"/>
          <w:sz w:val="32"/>
          <w:szCs w:val="32"/>
          <w:highlight w:val="none"/>
          <w:lang w:val="en-US" w:eastAsia="zh-CN"/>
        </w:rPr>
        <w:t xml:space="preserve">5000万元，</w:t>
      </w:r>
      <w:r>
        <w:rPr>
          <w:rFonts w:hint="default" w:ascii="Times New Roman" w:hAnsi="Times New Roman" w:eastAsia="仿宋_GB2312" w:cs="Times New Roman"/>
          <w:color w:val="auto"/>
          <w:sz w:val="32"/>
          <w:szCs w:val="32"/>
          <w:highlight w:val="none"/>
          <w:lang w:eastAsia="zh-CN"/>
        </w:rPr>
        <w:t xml:space="preserve">截止202</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lang w:eastAsia="zh-CN"/>
        </w:rPr>
        <w:t xml:space="preserve">年</w:t>
      </w:r>
      <w:r>
        <w:rPr>
          <w:rFonts w:hint="default" w:ascii="Times New Roman" w:hAnsi="Times New Roman" w:eastAsia="仿宋_GB2312" w:cs="Times New Roman"/>
          <w:color w:val="auto"/>
          <w:sz w:val="32"/>
          <w:szCs w:val="32"/>
          <w:highlight w:val="none"/>
          <w:lang w:val="en-US" w:eastAsia="zh-CN"/>
        </w:rPr>
        <w:t xml:space="preserve">7</w:t>
      </w:r>
      <w:r>
        <w:rPr>
          <w:rFonts w:hint="default" w:ascii="Times New Roman" w:hAnsi="Times New Roman" w:eastAsia="仿宋_GB2312" w:cs="Times New Roman"/>
          <w:color w:val="auto"/>
          <w:sz w:val="32"/>
          <w:szCs w:val="32"/>
          <w:highlight w:val="none"/>
          <w:lang w:eastAsia="zh-CN"/>
        </w:rPr>
        <w:t xml:space="preserve">月31日，随州市政务服务和大数据管理局已收到项目资金</w:t>
      </w:r>
      <w:r>
        <w:rPr>
          <w:rFonts w:hint="default" w:ascii="Times New Roman" w:hAnsi="Times New Roman" w:eastAsia="仿宋_GB2312" w:cs="Times New Roman"/>
          <w:color w:val="auto"/>
          <w:sz w:val="32"/>
          <w:szCs w:val="32"/>
          <w:highlight w:val="none"/>
          <w:lang w:val="en-US" w:eastAsia="zh-CN"/>
        </w:rPr>
        <w:t xml:space="preserve">5000</w:t>
      </w:r>
      <w:r>
        <w:rPr>
          <w:rFonts w:hint="default" w:ascii="Times New Roman" w:hAnsi="Times New Roman" w:eastAsia="仿宋_GB2312" w:cs="Times New Roman"/>
          <w:color w:val="auto"/>
          <w:sz w:val="32"/>
          <w:szCs w:val="32"/>
          <w:highlight w:val="none"/>
          <w:lang w:eastAsia="zh-CN"/>
        </w:rPr>
        <w:t xml:space="preserve">万元，资金到位率100%。</w:t>
      </w:r>
      <w:r>
        <w:rPr>
          <w:rFonts w:hint="default" w:ascii="Times New Roman" w:hAnsi="Times New Roman" w:eastAsia="仿宋_GB2312" w:cs="Times New Roman"/>
          <w:color w:val="auto"/>
          <w:sz w:val="32"/>
          <w:szCs w:val="32"/>
          <w:highlight w:val="none"/>
          <w:lang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资金到位率指标不扣分，得</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lang w:eastAsia="zh-CN"/>
        </w:rPr>
        <w:t xml:space="preserve">分。</w:t>
      </w:r>
      <w:r>
        <w:rPr>
          <w:rFonts w:hint="default" w:ascii="Times New Roman" w:hAnsi="Times New Roman" w:eastAsia="仿宋_GB2312" w:cs="Times New Roman"/>
          <w:color w:val="auto"/>
          <w:sz w:val="32"/>
          <w:szCs w:val="32"/>
          <w:highlight w:val="none"/>
          <w:lang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2.3.3.2预算执行率（4分）</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截止</w:t>
      </w:r>
      <w:r>
        <w:rPr>
          <w:rFonts w:hint="default" w:ascii="Times New Roman" w:hAnsi="Times New Roman" w:eastAsia="仿宋_GB2312" w:cs="Times New Roman"/>
          <w:color w:val="auto"/>
          <w:sz w:val="32"/>
          <w:szCs w:val="32"/>
          <w:highlight w:val="none"/>
          <w:lang w:eastAsia="zh-CN"/>
        </w:rPr>
        <w:t xml:space="preserve">202</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val="en-US" w:eastAsia="zh-CN"/>
        </w:rPr>
        <w:t xml:space="preserve">7</w:t>
      </w:r>
      <w:r>
        <w:rPr>
          <w:rFonts w:hint="default" w:ascii="Times New Roman" w:hAnsi="Times New Roman" w:eastAsia="仿宋_GB2312" w:cs="Times New Roman"/>
          <w:color w:val="auto"/>
          <w:sz w:val="32"/>
          <w:szCs w:val="32"/>
          <w:highlight w:val="none"/>
        </w:rPr>
        <w:t xml:space="preserve">月31日，</w:t>
      </w:r>
      <w:r>
        <w:rPr>
          <w:rFonts w:hint="default" w:ascii="Times New Roman" w:hAnsi="Times New Roman" w:eastAsia="仿宋_GB2312" w:cs="Times New Roman"/>
          <w:color w:val="auto"/>
          <w:sz w:val="32"/>
          <w:szCs w:val="32"/>
          <w:highlight w:val="none"/>
          <w:lang w:eastAsia="zh-CN"/>
        </w:rPr>
        <w:t xml:space="preserve">随州市政务服务和大数据管理局</w:t>
      </w:r>
      <w:r>
        <w:rPr>
          <w:rFonts w:hint="default" w:ascii="Times New Roman" w:hAnsi="Times New Roman" w:eastAsia="仿宋_GB2312" w:cs="Times New Roman"/>
          <w:color w:val="auto"/>
          <w:sz w:val="32"/>
          <w:szCs w:val="32"/>
          <w:highlight w:val="none"/>
        </w:rPr>
        <w:t xml:space="preserve">已实际支付</w:t>
      </w:r>
      <w:r>
        <w:rPr>
          <w:rFonts w:hint="default" w:ascii="Times New Roman" w:hAnsi="Times New Roman" w:eastAsia="仿宋_GB2312" w:cs="Times New Roman"/>
          <w:color w:val="auto"/>
          <w:sz w:val="32"/>
          <w:szCs w:val="32"/>
          <w:highlight w:val="none"/>
          <w:lang w:eastAsia="zh-CN"/>
        </w:rPr>
        <w:t xml:space="preserve">2023</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资金</w:t>
      </w:r>
      <w:r>
        <w:rPr>
          <w:rFonts w:hint="default" w:ascii="Times New Roman" w:hAnsi="Times New Roman" w:eastAsia="仿宋_GB2312" w:cs="Times New Roman"/>
          <w:color w:val="auto"/>
          <w:sz w:val="32"/>
          <w:szCs w:val="32"/>
          <w:highlight w:val="none"/>
          <w:lang w:val="en-US" w:eastAsia="zh-CN"/>
        </w:rPr>
        <w:t xml:space="preserve">2597.9</w:t>
      </w:r>
      <w:r>
        <w:rPr>
          <w:rFonts w:hint="default" w:ascii="Times New Roman" w:hAnsi="Times New Roman" w:eastAsia="仿宋_GB2312" w:cs="Times New Roman"/>
          <w:color w:val="auto"/>
          <w:sz w:val="32"/>
          <w:szCs w:val="32"/>
          <w:highlight w:val="none"/>
        </w:rPr>
        <w:t xml:space="preserve">万元，预算执行率</w:t>
      </w:r>
      <w:r>
        <w:rPr>
          <w:rFonts w:hint="default" w:ascii="Times New Roman" w:hAnsi="Times New Roman" w:eastAsia="仿宋_GB2312" w:cs="Times New Roman"/>
          <w:color w:val="auto"/>
          <w:sz w:val="32"/>
          <w:szCs w:val="32"/>
          <w:highlight w:val="none"/>
          <w:lang w:val="en-US" w:eastAsia="zh-CN"/>
        </w:rPr>
        <w:t xml:space="preserve">51.96</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lang w:eastAsia="zh-CN"/>
        </w:rPr>
        <w:t xml:space="preserve">其中支付数字随州项目费用</w:t>
      </w:r>
      <w:r>
        <w:rPr>
          <w:rFonts w:hint="default" w:ascii="Times New Roman" w:hAnsi="Times New Roman" w:eastAsia="仿宋_GB2312" w:cs="Times New Roman"/>
          <w:color w:val="auto"/>
          <w:sz w:val="32"/>
          <w:szCs w:val="32"/>
          <w:highlight w:val="none"/>
          <w:lang w:val="en-US" w:eastAsia="zh-CN"/>
        </w:rPr>
        <w:t xml:space="preserve">1977.9万元，支付随州市城市数字公共基础设施（一期）项目620万元。</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数字随州建设项目首批执行的8个项目，除市</w:t>
      </w:r>
      <w:r>
        <w:rPr>
          <w:rFonts w:hint="default" w:ascii="Times New Roman" w:hAnsi="Times New Roman" w:eastAsia="仿宋_GB2312" w:cs="Times New Roman"/>
          <w:color w:val="auto"/>
          <w:sz w:val="32"/>
          <w:szCs w:val="32"/>
          <w:highlight w:val="none"/>
          <w:lang w:eastAsia="zh-CN"/>
        </w:rPr>
        <w:t xml:space="preserve">政务服务和大数据管理局负责的两个项目尾款</w:t>
      </w:r>
      <w:r>
        <w:rPr>
          <w:rFonts w:hint="default" w:ascii="Times New Roman" w:hAnsi="Times New Roman" w:eastAsia="仿宋_GB2312" w:cs="Times New Roman"/>
          <w:color w:val="auto"/>
          <w:sz w:val="32"/>
          <w:szCs w:val="32"/>
          <w:highlight w:val="none"/>
          <w:lang w:val="en-US" w:eastAsia="zh-CN"/>
        </w:rPr>
        <w:t xml:space="preserve">71.716万元</w:t>
      </w:r>
      <w:r>
        <w:rPr>
          <w:rFonts w:hint="default" w:ascii="Times New Roman" w:hAnsi="Times New Roman" w:eastAsia="仿宋_GB2312" w:cs="Times New Roman"/>
          <w:color w:val="auto"/>
          <w:sz w:val="32"/>
          <w:szCs w:val="32"/>
          <w:highlight w:val="none"/>
          <w:lang w:eastAsia="zh-CN"/>
        </w:rPr>
        <w:t xml:space="preserve">由于体制改革单位账号变更的原因未支付外，其他项目的款项已全部支付完毕。具体支付情况如下：</w:t>
      </w:r>
      <w:r>
        <w:rPr>
          <w:rFonts w:hint="default" w:ascii="Times New Roman" w:hAnsi="Times New Roman" w:eastAsia="仿宋_GB2312" w:cs="Times New Roman"/>
          <w:color w:val="auto"/>
          <w:sz w:val="32"/>
          <w:szCs w:val="32"/>
          <w:highlight w:val="none"/>
          <w:lang w:eastAsia="zh-CN"/>
        </w:rPr>
      </w:r>
    </w:p>
    <w:p>
      <w:pPr>
        <w:keepNext w:val="false"/>
        <w:keepLines w:val="false"/>
        <w:pageBreakBefore w:val="false"/>
        <w:widowControl w:val="false"/>
        <w:pBdr/>
        <w:spacing w:line="62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r>
      <w:r>
        <w:rPr>
          <w:rFonts w:hint="default" w:ascii="Times New Roman" w:hAnsi="Times New Roman" w:eastAsia="仿宋_GB2312" w:cs="Times New Roman"/>
          <w:color w:val="auto"/>
          <w:sz w:val="32"/>
          <w:szCs w:val="32"/>
          <w:highlight w:val="none"/>
          <w:lang w:eastAsia="zh-CN"/>
        </w:rPr>
      </w:r>
    </w:p>
    <w:tbl>
      <w:tblPr>
        <w:tblStyle w:val="716"/>
        <w:tblW w:w="84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left w:w="108" w:type="dxa"/>
          <w:top w:w="0" w:type="dxa"/>
          <w:right w:w="108" w:type="dxa"/>
          <w:bottom w:w="0" w:type="dxa"/>
        </w:tblCellMar>
        <w:tblLook w:val="04A0" w:firstRow="1" w:lastRow="0" w:firstColumn="1" w:lastColumn="0" w:noHBand="0" w:noVBand="1"/>
      </w:tblPr>
      <w:tblGrid>
        <w:gridCol w:w="2968"/>
        <w:gridCol w:w="1927"/>
        <w:gridCol w:w="1781"/>
        <w:gridCol w:w="1781"/>
      </w:tblGrid>
      <w:tr>
        <w:trPr>
          <w:trHeight w:val="567"/>
        </w:trPr>
        <w:tc>
          <w:tcPr>
            <w:shd w:val="clear" w:color="auto" w:fill="auto"/>
            <w:tcBorders>
              <w:top w:val="single" w:color="000000" w:sz="4" w:space="0"/>
              <w:left w:val="single" w:color="000000" w:sz="4" w:space="0"/>
              <w:bottom w:val="single" w:color="000000" w:sz="4" w:space="0"/>
              <w:right w:val="single" w:color="000000" w:sz="4" w:space="0"/>
            </w:tcBorders>
            <w:tcW w:w="2968" w:type="dxa"/>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资金支付方式</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927" w:type="dxa"/>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2023年</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81" w:type="dxa"/>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2024年</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1781" w:type="dxa"/>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合计（万元）</w:t>
            </w:r>
            <w:r>
              <w:rPr>
                <w:rFonts w:hint="default" w:ascii="Times New Roman" w:hAnsi="Times New Roman" w:eastAsia="宋体" w:cs="Times New Roman"/>
                <w:i w:val="0"/>
                <w:iCs w:val="0"/>
                <w:color w:val="auto"/>
                <w:sz w:val="20"/>
                <w:szCs w:val="20"/>
                <w:u w:val="none"/>
              </w:rPr>
            </w:r>
          </w:p>
        </w:tc>
      </w:tr>
      <w:tr>
        <w:trPr>
          <w:trHeight w:val="567"/>
        </w:trPr>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划转项目执行单位</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482.00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1,479.90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1,961.90</w:t>
            </w:r>
            <w:r>
              <w:rPr>
                <w:rFonts w:hint="default" w:ascii="Times New Roman" w:hAnsi="Times New Roman" w:eastAsia="宋体" w:cs="Times New Roman"/>
                <w:i w:val="0"/>
                <w:iCs w:val="0"/>
                <w:color w:val="auto"/>
                <w:sz w:val="20"/>
                <w:szCs w:val="20"/>
                <w:u w:val="none"/>
              </w:rPr>
            </w:r>
          </w:p>
        </w:tc>
      </w:tr>
      <w:tr>
        <w:trPr>
          <w:trHeight w:val="567"/>
        </w:trPr>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市政数局自行支付</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418.00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218.00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636.00</w:t>
            </w:r>
            <w:r>
              <w:rPr>
                <w:rFonts w:hint="default" w:ascii="Times New Roman" w:hAnsi="Times New Roman" w:eastAsia="宋体" w:cs="Times New Roman"/>
                <w:i w:val="0"/>
                <w:iCs w:val="0"/>
                <w:color w:val="auto"/>
                <w:sz w:val="20"/>
                <w:szCs w:val="20"/>
                <w:u w:val="none"/>
              </w:rPr>
            </w:r>
          </w:p>
        </w:tc>
      </w:tr>
      <w:tr>
        <w:trPr>
          <w:trHeight w:val="567"/>
        </w:trPr>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合计</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900.00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1,697.90</w:t>
            </w:r>
            <w:r>
              <w:rPr>
                <w:rFonts w:hint="default" w:ascii="Times New Roman" w:hAnsi="Times New Roman" w:eastAsia="宋体" w:cs="Times New Roman"/>
                <w:i w:val="0"/>
                <w:iCs w:val="0"/>
                <w:color w:val="auto"/>
                <w:sz w:val="20"/>
                <w:szCs w:val="20"/>
                <w:u w:val="none"/>
              </w:rPr>
            </w:r>
          </w:p>
        </w:tc>
        <w:tc>
          <w:tcPr>
            <w:shd w:val="clear" w:color="auto" w:fill="auto"/>
            <w:tcBorders>
              <w:top w:val="single" w:color="000000" w:sz="4" w:space="0"/>
              <w:left w:val="single" w:color="000000" w:sz="4" w:space="0"/>
              <w:bottom w:val="single" w:color="000000" w:sz="4" w:space="0"/>
              <w:right w:val="single" w:color="000000" w:sz="4" w:space="0"/>
            </w:tcBorders>
            <w:tcW w:w="0" w:type="auto"/>
            <w:vAlign w:val="center"/>
            <w:textDirection w:val="lrTb"/>
            <w:noWrap/>
          </w:tcPr>
          <w:p>
            <w:pPr>
              <w:keepNext w:val="false"/>
              <w:keepLines w:val="false"/>
              <w:pageBreakBefore w:val="false"/>
              <w:widowControl w:val="true"/>
              <w:suppressLineNumbers w:val="false"/>
              <w:pBdr/>
              <w:spacing w:line="520" w:lineRule="exact"/>
              <w:ind/>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lang w:val="en-US" w:eastAsia="zh-CN" w:bidi="ar"/>
              </w:rPr>
              <w:t xml:space="preserve">2,597.90</w:t>
            </w:r>
            <w:r>
              <w:rPr>
                <w:rFonts w:hint="default" w:ascii="Times New Roman" w:hAnsi="Times New Roman" w:eastAsia="宋体" w:cs="Times New Roman"/>
                <w:i w:val="0"/>
                <w:iCs w:val="0"/>
                <w:color w:val="auto"/>
                <w:sz w:val="20"/>
                <w:szCs w:val="20"/>
                <w:u w:val="none"/>
              </w:rPr>
            </w:r>
          </w:p>
        </w:tc>
      </w:tr>
    </w:tbl>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预算执行率指标按执行情况扣</w:t>
      </w:r>
      <w:r>
        <w:rPr>
          <w:rFonts w:hint="default" w:ascii="Times New Roman" w:hAnsi="Times New Roman" w:eastAsia="仿宋_GB2312" w:cs="Times New Roman"/>
          <w:color w:val="auto"/>
          <w:sz w:val="32"/>
          <w:szCs w:val="32"/>
          <w:highlight w:val="none"/>
          <w:lang w:val="en-US" w:eastAsia="zh-CN"/>
        </w:rPr>
        <w:t xml:space="preserve">1.93</w:t>
      </w:r>
      <w:r>
        <w:rPr>
          <w:rFonts w:hint="default" w:ascii="Times New Roman" w:hAnsi="Times New Roman" w:eastAsia="仿宋_GB2312" w:cs="Times New Roman"/>
          <w:color w:val="auto"/>
          <w:sz w:val="32"/>
          <w:szCs w:val="32"/>
          <w:highlight w:val="none"/>
          <w:lang w:eastAsia="zh-CN"/>
        </w:rPr>
        <w:t xml:space="preserve">分，得</w:t>
      </w:r>
      <w:r>
        <w:rPr>
          <w:rFonts w:hint="default" w:ascii="Times New Roman" w:hAnsi="Times New Roman" w:eastAsia="仿宋_GB2312" w:cs="Times New Roman"/>
          <w:color w:val="auto"/>
          <w:sz w:val="32"/>
          <w:szCs w:val="32"/>
          <w:highlight w:val="none"/>
          <w:lang w:val="en-US" w:eastAsia="zh-CN"/>
        </w:rPr>
        <w:t xml:space="preserve">2.07</w:t>
      </w:r>
      <w:r>
        <w:rPr>
          <w:rFonts w:hint="default" w:ascii="Times New Roman" w:hAnsi="Times New Roman" w:eastAsia="仿宋_GB2312" w:cs="Times New Roman"/>
          <w:color w:val="auto"/>
          <w:sz w:val="32"/>
          <w:szCs w:val="32"/>
          <w:highlight w:val="none"/>
          <w:lang w:eastAsia="zh-CN"/>
        </w:rPr>
        <w:t xml:space="preserve">分。</w:t>
      </w:r>
      <w:r>
        <w:rPr>
          <w:rFonts w:hint="default" w:ascii="Times New Roman" w:hAnsi="Times New Roman" w:eastAsia="仿宋_GB2312" w:cs="Times New Roman"/>
          <w:color w:val="auto"/>
          <w:sz w:val="32"/>
          <w:szCs w:val="32"/>
          <w:highlight w:val="none"/>
          <w:lang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2.3.4.3资金使用合规性（4分）</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tabs>
          <w:tab w:val="left" w:leader="none" w:pos="6353"/>
        </w:tabs>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随州市城市数字公共基础设施（一期）项目系2024年新开工的项目，要求2024年9月底完成相关建设内容。按照财政的建议，将数字随州建设项目资金2400万元调整用于随州市城市数字公共基础设施（一期）项目。该调整已按程序获得批准。</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tabs>
          <w:tab w:val="left" w:leader="none" w:pos="6353"/>
        </w:tabs>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除</w:t>
      </w:r>
      <w:r>
        <w:rPr>
          <w:rFonts w:hint="default" w:ascii="Times New Roman" w:hAnsi="Times New Roman" w:eastAsia="仿宋_GB2312" w:cs="Times New Roman"/>
          <w:color w:val="auto"/>
          <w:sz w:val="32"/>
          <w:szCs w:val="32"/>
          <w:highlight w:val="none"/>
          <w:lang w:val="en-US" w:eastAsia="zh-CN"/>
        </w:rPr>
        <w:t xml:space="preserve">随州市城市数字公共基础设施（一期）项目外，</w:t>
      </w:r>
      <w:r>
        <w:rPr>
          <w:rFonts w:hint="default" w:ascii="Times New Roman" w:hAnsi="Times New Roman" w:eastAsia="仿宋_GB2312" w:cs="Times New Roman"/>
          <w:color w:val="auto"/>
          <w:sz w:val="32"/>
          <w:szCs w:val="32"/>
          <w:highlight w:val="none"/>
          <w:lang w:eastAsia="zh-CN"/>
        </w:rPr>
        <w:t xml:space="preserve">数字随州建设项目年初批复预算资金全部用于该项目支出，大额资金支付经过党组会集体决策，内部审批手续完整，政府采购支出的附件资料齐全</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资金使用合规性指标</w:t>
      </w:r>
      <w:r>
        <w:rPr>
          <w:rFonts w:hint="default" w:ascii="Times New Roman" w:hAnsi="Times New Roman" w:eastAsia="仿宋_GB2312" w:cs="Times New Roman"/>
          <w:color w:val="auto"/>
          <w:sz w:val="32"/>
          <w:szCs w:val="32"/>
          <w:highlight w:val="none"/>
          <w:lang w:eastAsia="zh-CN"/>
        </w:rPr>
        <w:t xml:space="preserve">不</w:t>
      </w:r>
      <w:r>
        <w:rPr>
          <w:rFonts w:hint="default" w:ascii="Times New Roman" w:hAnsi="Times New Roman" w:eastAsia="仿宋_GB2312" w:cs="Times New Roman"/>
          <w:color w:val="auto"/>
          <w:sz w:val="32"/>
          <w:szCs w:val="32"/>
          <w:highlight w:val="none"/>
        </w:rPr>
        <w:t xml:space="preserve">扣分，得</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44" w:name="_Toc6016"/>
      <w:r/>
      <w:bookmarkStart w:id="45" w:name="_Toc147654980"/>
      <w:r>
        <w:rPr>
          <w:rFonts w:hint="default" w:ascii="Times New Roman" w:hAnsi="Times New Roman" w:eastAsia="楷体_GB2312" w:cs="Times New Roman"/>
          <w:color w:val="auto"/>
          <w:sz w:val="32"/>
          <w:szCs w:val="32"/>
          <w:lang w:val="en-US" w:eastAsia="zh-CN"/>
        </w:rPr>
        <w:t xml:space="preserve">2.3.5组织实施（8分）</w:t>
      </w:r>
      <w:bookmarkEnd w:id="44"/>
      <w:r/>
      <w:bookmarkEnd w:id="45"/>
      <w:r/>
      <w:r>
        <w:rPr>
          <w:rFonts w:hint="default" w:ascii="Times New Roman" w:hAnsi="Times New Roman" w:eastAsia="楷体_GB2312" w:cs="Times New Roman"/>
          <w:color w:val="auto"/>
          <w:sz w:val="32"/>
          <w:szCs w:val="32"/>
          <w:lang w:val="en-US"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46" w:name="_Toc147654981"/>
      <w:r>
        <w:rPr>
          <w:rFonts w:hint="default" w:ascii="Times New Roman" w:hAnsi="Times New Roman" w:eastAsia="楷体_GB2312" w:cs="Times New Roman"/>
          <w:color w:val="auto"/>
          <w:sz w:val="32"/>
          <w:szCs w:val="32"/>
          <w:lang w:val="en-US" w:eastAsia="zh-CN"/>
        </w:rPr>
        <w:t xml:space="preserve">2.3.5.1管理制度健全性（4分）</w:t>
      </w:r>
      <w:bookmarkEnd w:id="46"/>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tabs>
          <w:tab w:val="left" w:leader="none" w:pos="6353"/>
        </w:tabs>
        <w:spacing w:line="580" w:lineRule="exact"/>
        <w:ind w:firstLine="640" w:left="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我们查阅了随州市政务服务和大数据管理局目前已制订的《</w:t>
      </w:r>
      <w:r>
        <w:rPr>
          <w:rFonts w:hint="default" w:ascii="Times New Roman" w:hAnsi="Times New Roman" w:eastAsia="仿宋_GB2312" w:cs="Times New Roman"/>
          <w:color w:val="auto"/>
          <w:sz w:val="32"/>
          <w:szCs w:val="32"/>
          <w:highlight w:val="none"/>
          <w:lang w:val="zh-CN" w:eastAsia="zh-CN"/>
        </w:rPr>
        <w:t xml:space="preserve">党组议事规则》《局机关财务管理内部控制制度》《局机关财务管理制度》《</w:t>
      </w:r>
      <w:r>
        <w:rPr>
          <w:rFonts w:hint="default" w:ascii="Times New Roman" w:hAnsi="Times New Roman" w:eastAsia="仿宋_GB2312" w:cs="Times New Roman"/>
          <w:color w:val="auto"/>
          <w:sz w:val="32"/>
          <w:szCs w:val="32"/>
          <w:highlight w:val="none"/>
          <w:lang w:eastAsia="zh-CN"/>
        </w:rPr>
        <w:t xml:space="preserve">内部审计制度</w:t>
      </w:r>
      <w:r>
        <w:rPr>
          <w:rFonts w:hint="default" w:ascii="Times New Roman" w:hAnsi="Times New Roman" w:eastAsia="仿宋_GB2312" w:cs="Times New Roman"/>
          <w:color w:val="auto"/>
          <w:sz w:val="32"/>
          <w:szCs w:val="32"/>
          <w:highlight w:val="none"/>
          <w:lang w:val="zh-CN" w:eastAsia="zh-CN"/>
        </w:rPr>
        <w:t xml:space="preserve">》等内部管理制度，发现</w:t>
      </w:r>
      <w:r>
        <w:rPr>
          <w:rFonts w:hint="default" w:ascii="Times New Roman" w:hAnsi="Times New Roman" w:eastAsia="仿宋_GB2312" w:cs="Times New Roman"/>
          <w:color w:val="auto"/>
          <w:sz w:val="32"/>
          <w:szCs w:val="32"/>
          <w:highlight w:val="none"/>
          <w:lang w:eastAsia="zh-CN"/>
        </w:rPr>
        <w:t xml:space="preserve">随州市政务服务和大数据管理局没有信息化项目管理制度、合同管理制度。该单位没有针</w:t>
      </w:r>
      <w:r>
        <w:rPr>
          <w:rFonts w:hint="default" w:ascii="Times New Roman" w:hAnsi="Times New Roman" w:eastAsia="仿宋_GB2312" w:cs="Times New Roman"/>
          <w:color w:val="auto"/>
          <w:sz w:val="32"/>
          <w:szCs w:val="32"/>
          <w:highlight w:val="none"/>
          <w:lang w:val="zh-CN" w:eastAsia="zh-CN"/>
        </w:rPr>
        <w:t xml:space="preserve">对信息化项目预算、采购、建设、日常维护管理等方面可能存在的风险，制订相应的内控管理制度，信息化项目管理无章可循。信息化</w:t>
      </w:r>
      <w:r>
        <w:rPr>
          <w:rFonts w:hint="default" w:ascii="Times New Roman" w:hAnsi="Times New Roman" w:eastAsia="仿宋_GB2312" w:cs="Times New Roman"/>
          <w:color w:val="auto"/>
          <w:sz w:val="32"/>
          <w:szCs w:val="32"/>
          <w:highlight w:val="none"/>
          <w:lang w:eastAsia="zh-CN"/>
        </w:rPr>
        <w:t xml:space="preserve">项目日常维护、管理主要依赖软件开发方或第三方，不是很规范。该单位合同管理制度缺乏，合同管理比较随意，合同条款未得到严格执行。</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管理制度健全性</w:t>
      </w:r>
      <w:r>
        <w:rPr>
          <w:rFonts w:hint="default" w:ascii="Times New Roman" w:hAnsi="Times New Roman" w:eastAsia="仿宋_GB2312" w:cs="Times New Roman"/>
          <w:color w:val="auto"/>
          <w:sz w:val="32"/>
          <w:szCs w:val="32"/>
          <w:highlight w:val="none"/>
        </w:rPr>
        <w:t xml:space="preserve">指标扣</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rPr>
        <w:t xml:space="preserve">分，得</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47" w:name="_Toc147654982"/>
      <w:r>
        <w:rPr>
          <w:rFonts w:hint="default" w:ascii="Times New Roman" w:hAnsi="Times New Roman" w:eastAsia="楷体_GB2312" w:cs="Times New Roman"/>
          <w:color w:val="auto"/>
          <w:sz w:val="32"/>
          <w:szCs w:val="32"/>
          <w:lang w:val="en-US" w:eastAsia="zh-CN"/>
        </w:rPr>
        <w:t xml:space="preserve">2.3.5.2制度执行（项目管理）有效性（4分）</w:t>
      </w:r>
      <w:bookmarkEnd w:id="47"/>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tabs>
          <w:tab w:val="left" w:leader="none" w:pos="312"/>
        </w:tabs>
        <w:spacing w:line="58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数字随州建设项目采购遵守政府采购相关规定，大额预算资金的支付通过党组集体决定，符合单位内控规定，现有的与项目相关的管理制度基本得到了遵循。</w:t>
      </w:r>
      <w:r>
        <w:rPr>
          <w:rFonts w:hint="default" w:ascii="Times New Roman" w:hAnsi="Times New Roman" w:eastAsia="仿宋_GB2312" w:cs="Times New Roman"/>
          <w:color w:val="auto"/>
          <w:sz w:val="32"/>
          <w:szCs w:val="32"/>
          <w:highlight w:val="none"/>
          <w:lang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但评价发现</w:t>
      </w:r>
      <w:r>
        <w:rPr>
          <w:rFonts w:hint="default" w:ascii="Times New Roman" w:hAnsi="Times New Roman" w:eastAsia="仿宋_GB2312" w:cs="Times New Roman"/>
          <w:color w:val="auto"/>
          <w:sz w:val="32"/>
          <w:szCs w:val="32"/>
          <w:highlight w:val="none"/>
          <w:lang w:eastAsia="zh-CN"/>
        </w:rPr>
        <w:t xml:space="preserve">，随州市12345政务服务便民热线智能化整合</w:t>
      </w:r>
      <w:r>
        <w:rPr>
          <w:rFonts w:hint="default" w:ascii="Times New Roman" w:hAnsi="Times New Roman" w:eastAsia="仿宋_GB2312" w:cs="Times New Roman"/>
          <w:color w:val="auto"/>
          <w:sz w:val="32"/>
          <w:szCs w:val="32"/>
          <w:highlight w:val="none"/>
          <w:lang w:val="en-US" w:eastAsia="zh-CN"/>
        </w:rPr>
        <w:t xml:space="preserve">项目合同约定，通过终验后付本合同总价款的40%款项,计人民币1836464.00元整。本部分款项2022年11月甲方对乙方履约情况进行考核评估后</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考核时间2021年12月至2022年11月</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，视考核结果和人员使用情况</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人员费用标准为6万元/人·年</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，根据实际情况据实结算。但随州市政务和大数据管理局2022年11月未对供应商进行考核，未据实结算，按合同全款结算了终验款。</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评价还发现，工程建设项目审批管理系统升级项目有部分内容</w:t>
      </w:r>
      <w:r>
        <w:rPr>
          <w:rFonts w:hint="default" w:ascii="Times New Roman" w:hAnsi="Times New Roman" w:eastAsia="仿宋_GB2312" w:cs="Times New Roman"/>
          <w:color w:val="auto"/>
          <w:sz w:val="32"/>
          <w:szCs w:val="32"/>
          <w:lang w:val="en-US" w:eastAsia="zh-CN"/>
        </w:rPr>
        <w:t xml:space="preserve">由于不可抗力未完成，但结算时也未扣款，而是按合同全款支付。</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 xml:space="preserve">制</w:t>
      </w:r>
      <w:r>
        <w:rPr>
          <w:rFonts w:hint="default" w:ascii="Times New Roman" w:hAnsi="Times New Roman" w:eastAsia="仿宋_GB2312" w:cs="Times New Roman"/>
          <w:color w:val="auto"/>
          <w:sz w:val="32"/>
          <w:szCs w:val="32"/>
          <w:highlight w:val="none"/>
        </w:rPr>
        <w:t xml:space="preserve">度执行</w:t>
      </w:r>
      <w:r>
        <w:rPr>
          <w:rFonts w:hint="default" w:ascii="Times New Roman" w:hAnsi="Times New Roman" w:eastAsia="仿宋_GB2312" w:cs="Times New Roman"/>
          <w:color w:val="auto"/>
          <w:sz w:val="32"/>
          <w:szCs w:val="32"/>
          <w:highlight w:val="none"/>
          <w:lang w:eastAsia="zh-CN"/>
        </w:rPr>
        <w:t xml:space="preserve">（项目管理）</w:t>
      </w:r>
      <w:r>
        <w:rPr>
          <w:rFonts w:hint="default" w:ascii="Times New Roman" w:hAnsi="Times New Roman" w:eastAsia="仿宋_GB2312" w:cs="Times New Roman"/>
          <w:color w:val="auto"/>
          <w:sz w:val="32"/>
          <w:szCs w:val="32"/>
          <w:highlight w:val="none"/>
        </w:rPr>
        <w:t xml:space="preserve">有效性</w:t>
      </w:r>
      <w:r>
        <w:rPr>
          <w:rFonts w:hint="default" w:ascii="Times New Roman" w:hAnsi="Times New Roman" w:eastAsia="仿宋_GB2312" w:cs="Times New Roman"/>
          <w:color w:val="auto"/>
          <w:sz w:val="32"/>
          <w:szCs w:val="32"/>
          <w:highlight w:val="none"/>
        </w:rPr>
        <w:t xml:space="preserve">指标扣</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rPr>
        <w:t xml:space="preserve">分，得</w:t>
      </w:r>
      <w:r>
        <w:rPr>
          <w:rFonts w:hint="default" w:ascii="Times New Roman" w:hAnsi="Times New Roman" w:eastAsia="仿宋_GB2312" w:cs="Times New Roman"/>
          <w:color w:val="auto"/>
          <w:sz w:val="32"/>
          <w:szCs w:val="32"/>
          <w:highlight w:val="none"/>
          <w:lang w:val="en-US" w:eastAsia="zh-CN"/>
        </w:rPr>
        <w:t xml:space="preserve">2</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48" w:name="_Toc147654984"/>
      <w:r/>
      <w:bookmarkStart w:id="49" w:name="_Toc31353"/>
      <w:r>
        <w:rPr>
          <w:rFonts w:hint="default" w:ascii="Times New Roman" w:hAnsi="Times New Roman" w:eastAsia="楷体_GB2312" w:cs="Times New Roman"/>
          <w:color w:val="auto"/>
          <w:sz w:val="32"/>
          <w:szCs w:val="32"/>
          <w:lang w:val="en-US" w:eastAsia="zh-CN"/>
        </w:rPr>
        <w:t xml:space="preserve">2.3.6产出数量（17分）</w:t>
      </w:r>
      <w:bookmarkEnd w:id="48"/>
      <w:r/>
      <w:bookmarkEnd w:id="49"/>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城管运行平台建设系统数量</w:t>
      </w:r>
      <w:r>
        <w:rPr>
          <w:rFonts w:hint="default" w:ascii="Times New Roman" w:hAnsi="Times New Roman" w:eastAsia="仿宋_GB2312" w:cs="Times New Roman"/>
          <w:color w:val="auto"/>
          <w:sz w:val="32"/>
          <w:szCs w:val="32"/>
          <w:highlight w:val="none"/>
          <w:lang w:val="en-US" w:eastAsia="zh-CN"/>
        </w:rPr>
        <w:t xml:space="preserve">4个</w:t>
      </w:r>
      <w:r>
        <w:rPr>
          <w:rFonts w:hint="default" w:ascii="Times New Roman" w:hAnsi="Times New Roman" w:eastAsia="仿宋_GB2312" w:cs="Times New Roman"/>
          <w:color w:val="auto"/>
          <w:sz w:val="32"/>
          <w:szCs w:val="32"/>
          <w:highlight w:val="none"/>
        </w:rPr>
        <w:t xml:space="preserve">（4分）</w:t>
      </w:r>
      <w:r>
        <w:rPr>
          <w:rFonts w:hint="default" w:ascii="Times New Roman" w:hAnsi="Times New Roman" w:eastAsia="仿宋_GB2312" w:cs="Times New Roman"/>
          <w:color w:val="auto"/>
          <w:sz w:val="32"/>
          <w:szCs w:val="32"/>
          <w:highlight w:val="none"/>
          <w:lang w:eastAsia="zh-CN"/>
        </w:rPr>
        <w:t xml:space="preserve">。随州城市运行管理服务平台（二期）已完成综合行政执法监督管理系统、A1智能视频分析系统、“门前三包”综合管理系统、智能井盖管理系统</w:t>
      </w:r>
      <w:r>
        <w:rPr>
          <w:rFonts w:hint="default" w:ascii="Times New Roman" w:hAnsi="Times New Roman" w:eastAsia="仿宋_GB2312" w:cs="Times New Roman"/>
          <w:color w:val="auto"/>
          <w:sz w:val="32"/>
          <w:szCs w:val="32"/>
          <w:highlight w:val="none"/>
          <w:lang w:val="en-US" w:eastAsia="zh-CN"/>
        </w:rPr>
        <w:t xml:space="preserve">4个系统建设。</w:t>
      </w:r>
      <w:r>
        <w:rPr>
          <w:rFonts w:hint="default" w:ascii="Times New Roman" w:hAnsi="Times New Roman" w:eastAsia="仿宋_GB2312" w:cs="Times New Roman"/>
          <w:color w:val="auto"/>
          <w:sz w:val="32"/>
          <w:szCs w:val="32"/>
          <w:highlight w:val="none"/>
          <w:lang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鄂汇办接入事项</w:t>
      </w:r>
      <w:r>
        <w:rPr>
          <w:rFonts w:hint="default" w:ascii="Times New Roman" w:hAnsi="Times New Roman" w:eastAsia="仿宋_GB2312" w:cs="Times New Roman"/>
          <w:color w:val="auto"/>
          <w:sz w:val="32"/>
          <w:szCs w:val="32"/>
          <w:highlight w:val="none"/>
          <w:lang w:val="en-US" w:eastAsia="zh-CN"/>
        </w:rPr>
        <w:t xml:space="preserve">180个</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lang w:val="en-US" w:eastAsia="zh-CN" w:bidi="ar-SA"/>
        </w:rPr>
        <w:t xml:space="preserve">具体做法先是参照2022年高效办成一件事考核指标附件《湖北省移动端高频事项清单》</w:t>
      </w:r>
      <w:r>
        <w:rPr>
          <w:rFonts w:hint="eastAsia" w:ascii="Times New Roman" w:hAnsi="Times New Roman" w:eastAsia="仿宋_GB2312" w:cs="Times New Roman"/>
          <w:color w:val="auto"/>
          <w:sz w:val="32"/>
          <w:szCs w:val="32"/>
          <w:lang w:val="en-US" w:eastAsia="zh-CN" w:bidi="ar-SA"/>
        </w:rPr>
        <w:t xml:space="preserve">（</w:t>
      </w:r>
      <w:r>
        <w:rPr>
          <w:rFonts w:hint="default" w:ascii="Times New Roman" w:hAnsi="Times New Roman" w:eastAsia="仿宋_GB2312" w:cs="Times New Roman"/>
          <w:color w:val="auto"/>
          <w:sz w:val="32"/>
          <w:szCs w:val="32"/>
          <w:lang w:val="en-US" w:eastAsia="zh-CN" w:bidi="ar-SA"/>
        </w:rPr>
        <w:t xml:space="preserve">第一批</w:t>
      </w:r>
      <w:r>
        <w:rPr>
          <w:rFonts w:hint="eastAsia" w:ascii="Times New Roman" w:hAnsi="Times New Roman" w:eastAsia="仿宋_GB2312" w:cs="Times New Roman"/>
          <w:color w:val="auto"/>
          <w:sz w:val="32"/>
          <w:szCs w:val="32"/>
          <w:lang w:val="en-US" w:eastAsia="zh-CN" w:bidi="ar-SA"/>
        </w:rPr>
        <w:t xml:space="preserve">）</w:t>
      </w:r>
      <w:r>
        <w:rPr>
          <w:rFonts w:hint="default" w:ascii="Times New Roman" w:hAnsi="Times New Roman" w:eastAsia="仿宋_GB2312" w:cs="Times New Roman"/>
          <w:color w:val="auto"/>
          <w:sz w:val="32"/>
          <w:szCs w:val="32"/>
          <w:lang w:val="en-US" w:eastAsia="zh-CN" w:bidi="ar-SA"/>
        </w:rPr>
        <w:t xml:space="preserve">，结合相关要求及随州实际情况，梳理 180项掌办事项清单。然后针对事项所涉表单进行详细调研，了解业务逻辑。依据表单调研成果，按照《关于印发湖北省政务服务事项接入“鄂汇办”实施方案的通知》</w:t>
      </w:r>
      <w:r>
        <w:rPr>
          <w:rFonts w:hint="eastAsia" w:ascii="Times New Roman" w:hAnsi="Times New Roman" w:eastAsia="仿宋_GB2312" w:cs="Times New Roman"/>
          <w:color w:val="auto"/>
          <w:sz w:val="32"/>
          <w:szCs w:val="32"/>
          <w:lang w:val="en-US" w:eastAsia="zh-CN" w:bidi="ar-SA"/>
        </w:rPr>
        <w:t xml:space="preserve">（</w:t>
      </w:r>
      <w:r>
        <w:rPr>
          <w:rFonts w:hint="default" w:ascii="Times New Roman" w:hAnsi="Times New Roman" w:eastAsia="仿宋_GB2312" w:cs="Times New Roman"/>
          <w:color w:val="auto"/>
          <w:sz w:val="32"/>
          <w:szCs w:val="32"/>
          <w:lang w:val="en-US" w:eastAsia="zh-CN" w:bidi="ar-SA"/>
        </w:rPr>
        <w:t xml:space="preserve">鄂政办函</w:t>
      </w:r>
      <w:r>
        <w:rPr>
          <w:rFonts w:hint="eastAsia" w:ascii="Times New Roman" w:hAnsi="Times New Roman" w:eastAsia="仿宋_GB2312" w:cs="Times New Roman"/>
          <w:color w:val="auto"/>
          <w:sz w:val="32"/>
          <w:szCs w:val="32"/>
          <w:lang w:val="en-US" w:eastAsia="zh-CN" w:bidi="ar-SA"/>
        </w:rPr>
        <w:t xml:space="preserve">（</w:t>
      </w:r>
      <w:r>
        <w:rPr>
          <w:rFonts w:hint="default" w:ascii="Times New Roman" w:hAnsi="Times New Roman" w:eastAsia="仿宋_GB2312" w:cs="Times New Roman"/>
          <w:color w:val="auto"/>
          <w:sz w:val="32"/>
          <w:szCs w:val="32"/>
          <w:lang w:val="en-US" w:eastAsia="zh-CN" w:bidi="ar-SA"/>
        </w:rPr>
        <w:t xml:space="preserve">2018</w:t>
      </w:r>
      <w:r>
        <w:rPr>
          <w:rFonts w:hint="eastAsia" w:ascii="Times New Roman" w:hAnsi="Times New Roman" w:eastAsia="仿宋_GB2312" w:cs="Times New Roman"/>
          <w:color w:val="auto"/>
          <w:sz w:val="32"/>
          <w:szCs w:val="32"/>
          <w:lang w:val="en-US" w:eastAsia="zh-CN" w:bidi="ar-SA"/>
        </w:rPr>
        <w:t xml:space="preserve">）</w:t>
      </w:r>
      <w:r>
        <w:rPr>
          <w:rFonts w:hint="default" w:ascii="Times New Roman" w:hAnsi="Times New Roman" w:eastAsia="仿宋_GB2312" w:cs="Times New Roman"/>
          <w:color w:val="auto"/>
          <w:sz w:val="32"/>
          <w:szCs w:val="32"/>
          <w:lang w:val="en-US" w:eastAsia="zh-CN" w:bidi="ar-SA"/>
        </w:rPr>
        <w:t xml:space="preserve">96号</w:t>
      </w:r>
      <w:r>
        <w:rPr>
          <w:rFonts w:hint="eastAsia" w:ascii="Times New Roman" w:hAnsi="Times New Roman" w:eastAsia="仿宋_GB2312" w:cs="Times New Roman"/>
          <w:color w:val="auto"/>
          <w:sz w:val="32"/>
          <w:szCs w:val="32"/>
          <w:lang w:val="en-US" w:eastAsia="zh-CN" w:bidi="ar-SA"/>
        </w:rPr>
        <w:t xml:space="preserve">）</w:t>
      </w:r>
      <w:r>
        <w:rPr>
          <w:rFonts w:hint="default" w:ascii="Times New Roman" w:hAnsi="Times New Roman" w:eastAsia="仿宋_GB2312" w:cs="Times New Roman"/>
          <w:color w:val="auto"/>
          <w:sz w:val="32"/>
          <w:szCs w:val="32"/>
          <w:lang w:val="en-US" w:eastAsia="zh-CN" w:bidi="ar-SA"/>
        </w:rPr>
        <w:t xml:space="preserve">相关标准规范，绘制事项表单。依据表单调研成果，完成与“湖北省级一体化在线</w:t>
      </w:r>
      <w:r>
        <w:rPr>
          <w:rFonts w:hint="default" w:ascii="Times New Roman" w:hAnsi="Times New Roman" w:eastAsia="仿宋_GB2312" w:cs="Times New Roman"/>
          <w:color w:val="auto"/>
          <w:sz w:val="32"/>
          <w:szCs w:val="32"/>
          <w:highlight w:val="none"/>
          <w:lang w:val="en-US" w:eastAsia="zh-CN"/>
        </w:rPr>
        <w:t xml:space="preserve">政务服务平台”</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包含省级掌上办、政务服务网、电子证照库、统一受理平台、统一身份认证等子系统</w:t>
      </w:r>
      <w:r>
        <w:rPr>
          <w:rFonts w:hint="eastAsia"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t xml:space="preserve">对接。2023年，</w:t>
      </w:r>
      <w:r>
        <w:rPr>
          <w:rFonts w:hint="default" w:ascii="Times New Roman" w:hAnsi="Times New Roman" w:eastAsia="仿宋_GB2312" w:cs="Times New Roman"/>
          <w:color w:val="auto"/>
          <w:sz w:val="32"/>
          <w:szCs w:val="32"/>
          <w:highlight w:val="none"/>
          <w:lang w:eastAsia="zh-CN"/>
        </w:rPr>
        <w:t xml:space="preserve">鄂汇办2022年建设项目已按设定目标接入事项</w:t>
      </w:r>
      <w:r>
        <w:rPr>
          <w:rFonts w:hint="default" w:ascii="Times New Roman" w:hAnsi="Times New Roman" w:eastAsia="仿宋_GB2312" w:cs="Times New Roman"/>
          <w:color w:val="auto"/>
          <w:sz w:val="32"/>
          <w:szCs w:val="32"/>
          <w:highlight w:val="none"/>
          <w:lang w:val="en-US" w:eastAsia="zh-CN"/>
        </w:rPr>
        <w:t xml:space="preserve">180项。</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升级平台数量</w:t>
      </w:r>
      <w:r>
        <w:rPr>
          <w:rFonts w:hint="default" w:ascii="Times New Roman" w:hAnsi="Times New Roman" w:eastAsia="仿宋_GB2312" w:cs="Times New Roman"/>
          <w:color w:val="auto"/>
          <w:sz w:val="32"/>
          <w:szCs w:val="32"/>
          <w:highlight w:val="none"/>
          <w:lang w:val="en-US" w:eastAsia="zh-CN"/>
        </w:rPr>
        <w:t xml:space="preserve">4个</w:t>
      </w:r>
      <w:r>
        <w:rPr>
          <w:rFonts w:hint="default"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lang w:val="en-US" w:eastAsia="zh-CN"/>
        </w:rPr>
        <w:t xml:space="preserve">3</w:t>
      </w:r>
      <w:r>
        <w:rPr>
          <w:rFonts w:hint="default" w:ascii="Times New Roman" w:hAnsi="Times New Roman" w:eastAsia="仿宋_GB2312" w:cs="Times New Roman"/>
          <w:color w:val="auto"/>
          <w:sz w:val="32"/>
          <w:szCs w:val="32"/>
          <w:highlight w:val="none"/>
          <w:lang w:eastAsia="zh-CN"/>
        </w:rPr>
        <w:t xml:space="preserve">分）。随着上级管理要求、客户服务要求提高，数字随州的各平台也面临着升级要求。</w:t>
      </w:r>
      <w:r>
        <w:rPr>
          <w:rFonts w:hint="default" w:ascii="Times New Roman" w:hAnsi="Times New Roman" w:eastAsia="仿宋_GB2312" w:cs="Times New Roman"/>
          <w:color w:val="auto"/>
          <w:sz w:val="32"/>
          <w:szCs w:val="32"/>
          <w:highlight w:val="none"/>
          <w:lang w:val="en-US" w:eastAsia="zh-CN"/>
        </w:rPr>
        <w:t xml:space="preserve">2023年，数字随州项目已完成随州市大数据中心电子证件照系统、共享交换平台、随州市工程建设项目审批管理系统、随州市12345政务服务便民热线智能化整合4个平台的升级建设。</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suppressLineNumbers w:val="false"/>
        <w:pBdr/>
        <w:spacing w:line="580" w:lineRule="exact"/>
        <w:ind w:firstLine="640"/>
        <w:jc w:val="both"/>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highlight w:val="none"/>
        </w:rPr>
        <w:t xml:space="preserve">监管平台建设、服务内容</w:t>
      </w:r>
      <w:r>
        <w:rPr>
          <w:rFonts w:hint="default" w:ascii="Times New Roman" w:hAnsi="Times New Roman" w:eastAsia="仿宋_GB2312" w:cs="Times New Roman"/>
          <w:color w:val="auto"/>
          <w:sz w:val="32"/>
          <w:szCs w:val="32"/>
          <w:highlight w:val="none"/>
          <w:lang w:val="en-US" w:eastAsia="zh-CN"/>
        </w:rPr>
        <w:t xml:space="preserve">6项</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lang w:val="en-US" w:eastAsia="zh-CN"/>
        </w:rPr>
        <w:t xml:space="preserve">3</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lang w:val="en-US" w:eastAsia="zh-CN"/>
        </w:rPr>
        <w:t xml:space="preserve">2023年，</w:t>
      </w:r>
      <w:r>
        <w:rPr>
          <w:rFonts w:hint="default" w:ascii="Times New Roman" w:hAnsi="Times New Roman" w:eastAsia="仿宋_GB2312" w:cs="Times New Roman"/>
          <w:color w:val="auto"/>
          <w:sz w:val="32"/>
          <w:szCs w:val="32"/>
          <w:highlight w:val="none"/>
          <w:lang w:eastAsia="zh-CN"/>
        </w:rPr>
        <w:t xml:space="preserve">随州市互联网+监管平台项目</w:t>
      </w:r>
      <w:r>
        <w:rPr>
          <w:rFonts w:hint="default" w:ascii="Times New Roman" w:hAnsi="Times New Roman" w:eastAsia="仿宋_GB2312" w:cs="Times New Roman"/>
          <w:color w:val="auto"/>
          <w:sz w:val="32"/>
          <w:szCs w:val="32"/>
          <w:lang w:val="en-US" w:eastAsia="zh-CN" w:bidi="ar-SA"/>
        </w:rPr>
        <w:t xml:space="preserve">已完成工鈼界面、监管数据治理系统、监管行为管理系统、系统对接、标准化服务、运营服务6项建设和服务内容。</w:t>
      </w:r>
      <w:r>
        <w:rPr>
          <w:rFonts w:hint="default" w:ascii="Times New Roman" w:hAnsi="Times New Roman" w:eastAsia="仿宋_GB2312" w:cs="Times New Roman"/>
          <w:color w:val="auto"/>
          <w:sz w:val="32"/>
          <w:szCs w:val="32"/>
          <w:lang w:val="en-US" w:eastAsia="zh-CN" w:bidi="ar-SA"/>
        </w:rPr>
      </w:r>
    </w:p>
    <w:p>
      <w:pPr>
        <w:keepNext w:val="false"/>
        <w:keepLines w:val="false"/>
        <w:pageBreakBefore w:val="false"/>
        <w:widowControl w:val="false"/>
        <w:suppressLineNumbers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 xml:space="preserve">密码建设、服务内容</w:t>
      </w:r>
      <w:r>
        <w:rPr>
          <w:rFonts w:hint="default" w:ascii="Times New Roman" w:hAnsi="Times New Roman" w:eastAsia="仿宋_GB2312" w:cs="Times New Roman"/>
          <w:color w:val="auto"/>
          <w:sz w:val="32"/>
          <w:szCs w:val="32"/>
          <w:highlight w:val="none"/>
          <w:lang w:val="en-US" w:eastAsia="zh-CN"/>
        </w:rPr>
        <w:t xml:space="preserve">7项</w:t>
      </w:r>
      <w:r>
        <w:rPr>
          <w:rFonts w:hint="default" w:ascii="Times New Roman" w:hAnsi="Times New Roman" w:eastAsia="仿宋_GB2312" w:cs="Times New Roman"/>
          <w:color w:val="auto"/>
          <w:sz w:val="32"/>
          <w:szCs w:val="32"/>
          <w:highlight w:val="none"/>
        </w:rPr>
        <w:t xml:space="preserve">（</w:t>
      </w:r>
      <w:r>
        <w:rPr>
          <w:rFonts w:hint="default" w:ascii="Times New Roman" w:hAnsi="Times New Roman" w:eastAsia="仿宋_GB2312" w:cs="Times New Roman"/>
          <w:color w:val="auto"/>
          <w:sz w:val="32"/>
          <w:szCs w:val="32"/>
          <w:highlight w:val="none"/>
          <w:lang w:val="en-US" w:eastAsia="zh-CN"/>
        </w:rPr>
        <w:t xml:space="preserve">3</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lang w:val="en-US" w:eastAsia="zh-CN"/>
        </w:rPr>
        <w:t xml:space="preserve">。2023年，政务系统密码建设项目已完成</w:t>
      </w:r>
      <w:r>
        <w:rPr>
          <w:rFonts w:hint="default" w:ascii="Times New Roman" w:hAnsi="Times New Roman" w:eastAsia="仿宋_GB2312" w:cs="Times New Roman"/>
          <w:color w:val="auto"/>
          <w:sz w:val="32"/>
          <w:szCs w:val="32"/>
          <w:lang w:val="en-US" w:eastAsia="zh-CN"/>
        </w:rPr>
        <w:t xml:space="preserve">建设密码服务平台、建设密码基础设施、配套计算资源、集成实施服务、售后运维服务、项目培训服务、迁移服务7项</w:t>
      </w:r>
      <w:r>
        <w:rPr>
          <w:rFonts w:hint="default" w:ascii="Times New Roman" w:hAnsi="Times New Roman" w:eastAsia="仿宋_GB2312" w:cs="Times New Roman"/>
          <w:color w:val="auto"/>
          <w:sz w:val="32"/>
          <w:szCs w:val="32"/>
          <w:lang w:val="en-US" w:eastAsia="zh-CN" w:bidi="ar-SA"/>
        </w:rPr>
        <w:t xml:space="preserve">建设和服务内容。</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产出数量指标</w:t>
      </w:r>
      <w:r>
        <w:rPr>
          <w:rFonts w:hint="default" w:ascii="Times New Roman" w:hAnsi="Times New Roman" w:eastAsia="仿宋_GB2312" w:cs="Times New Roman"/>
          <w:color w:val="auto"/>
          <w:sz w:val="32"/>
          <w:szCs w:val="32"/>
          <w:highlight w:val="none"/>
          <w:lang w:eastAsia="zh-CN"/>
        </w:rPr>
        <w:t xml:space="preserve">不</w:t>
      </w:r>
      <w:r>
        <w:rPr>
          <w:rFonts w:hint="default" w:ascii="Times New Roman" w:hAnsi="Times New Roman" w:eastAsia="仿宋_GB2312" w:cs="Times New Roman"/>
          <w:color w:val="auto"/>
          <w:sz w:val="32"/>
          <w:szCs w:val="32"/>
          <w:highlight w:val="none"/>
        </w:rPr>
        <w:t xml:space="preserve">扣分，得1</w:t>
      </w:r>
      <w:r>
        <w:rPr>
          <w:rFonts w:hint="default" w:ascii="Times New Roman" w:hAnsi="Times New Roman" w:eastAsia="仿宋_GB2312" w:cs="Times New Roman"/>
          <w:color w:val="auto"/>
          <w:sz w:val="32"/>
          <w:szCs w:val="32"/>
          <w:highlight w:val="none"/>
          <w:lang w:val="en-US" w:eastAsia="zh-CN"/>
        </w:rPr>
        <w:t xml:space="preserve">7</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50" w:name="_Toc147654985"/>
      <w:r/>
      <w:bookmarkStart w:id="51" w:name="_Toc5494"/>
      <w:r>
        <w:rPr>
          <w:rFonts w:hint="default" w:ascii="Times New Roman" w:hAnsi="Times New Roman" w:eastAsia="楷体_GB2312" w:cs="Times New Roman"/>
          <w:color w:val="auto"/>
          <w:sz w:val="32"/>
          <w:szCs w:val="32"/>
          <w:lang w:val="en-US" w:eastAsia="zh-CN"/>
        </w:rPr>
        <w:t xml:space="preserve">2.3.7产出质量（13分）</w:t>
      </w:r>
      <w:bookmarkEnd w:id="50"/>
      <w:r/>
      <w:bookmarkEnd w:id="51"/>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 xml:space="preserve">验收通过（</w:t>
      </w:r>
      <w:r>
        <w:rPr>
          <w:rFonts w:hint="default" w:ascii="Times New Roman" w:hAnsi="Times New Roman" w:eastAsia="仿宋_GB2312" w:cs="Times New Roman"/>
          <w:color w:val="auto"/>
          <w:sz w:val="32"/>
          <w:szCs w:val="32"/>
          <w:highlight w:val="none"/>
          <w:lang w:val="en-US" w:eastAsia="zh-CN"/>
        </w:rPr>
        <w:t xml:space="preserve">7分</w:t>
      </w:r>
      <w:r>
        <w:rPr>
          <w:rFonts w:hint="default" w:ascii="Times New Roman" w:hAnsi="Times New Roman" w:eastAsia="仿宋_GB2312" w:cs="Times New Roman"/>
          <w:color w:val="auto"/>
          <w:sz w:val="32"/>
          <w:szCs w:val="32"/>
          <w:highlight w:val="none"/>
          <w:lang w:eastAsia="zh-CN"/>
        </w:rPr>
        <w:t xml:space="preserve">）。截止评价基准日，</w:t>
      </w:r>
      <w:r>
        <w:rPr>
          <w:rFonts w:hint="default" w:ascii="Times New Roman" w:hAnsi="Times New Roman" w:eastAsia="仿宋_GB2312" w:cs="Times New Roman"/>
          <w:color w:val="auto"/>
          <w:sz w:val="32"/>
          <w:szCs w:val="32"/>
          <w:highlight w:val="none"/>
          <w:lang w:val="en-US" w:eastAsia="zh-CN"/>
        </w:rPr>
        <w:t xml:space="preserve">2023年执行的数字随州8个二级项目皆已初验或终验通过，但评价发现，互联网+监管平台项目验收单要素不全，没有验收日期、专家签名，建设单位未盖章</w:t>
      </w:r>
      <w:r>
        <w:rPr>
          <w:rFonts w:hint="default" w:ascii="Times New Roman" w:hAnsi="Times New Roman" w:eastAsia="仿宋_GB2312" w:cs="Times New Roman"/>
          <w:color w:val="auto"/>
          <w:sz w:val="32"/>
          <w:szCs w:val="32"/>
          <w:highlight w:val="none"/>
          <w:lang w:val="en-US" w:eastAsia="zh-CN" w:bidi="ar-SA"/>
        </w:rPr>
        <w:t xml:space="preserve">。扣1分。</w:t>
      </w:r>
      <w:r>
        <w:rPr>
          <w:rFonts w:hint="default" w:ascii="Times New Roman" w:hAnsi="Times New Roman" w:eastAsia="仿宋_GB2312" w:cs="Times New Roman"/>
          <w:color w:val="auto"/>
          <w:sz w:val="32"/>
          <w:szCs w:val="32"/>
          <w:highlight w:val="none"/>
          <w:lang w:val="en-US" w:eastAsia="zh-CN" w:bidi="ar-SA"/>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系统运维质保期</w:t>
      </w:r>
      <w:r>
        <w:rPr>
          <w:rFonts w:hint="default" w:ascii="Times New Roman" w:hAnsi="Times New Roman" w:eastAsia="仿宋_GB2312" w:cs="Times New Roman"/>
          <w:color w:val="auto"/>
          <w:sz w:val="32"/>
          <w:szCs w:val="32"/>
          <w:highlight w:val="none"/>
          <w:lang w:val="en-US" w:eastAsia="zh-CN"/>
        </w:rPr>
        <w:t xml:space="preserve">1年</w:t>
      </w:r>
      <w:r>
        <w:rPr>
          <w:rFonts w:hint="default"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lang w:val="en-US" w:eastAsia="zh-CN"/>
        </w:rPr>
        <w:t xml:space="preserve">6分</w:t>
      </w:r>
      <w:r>
        <w:rPr>
          <w:rFonts w:hint="default" w:ascii="Times New Roman" w:hAnsi="Times New Roman" w:eastAsia="仿宋_GB2312" w:cs="Times New Roman"/>
          <w:color w:val="auto"/>
          <w:sz w:val="32"/>
          <w:szCs w:val="32"/>
          <w:highlight w:val="none"/>
          <w:lang w:eastAsia="zh-CN"/>
        </w:rPr>
        <w:t xml:space="preserve">）。</w:t>
      </w:r>
      <w:r>
        <w:rPr>
          <w:rFonts w:hint="default" w:ascii="Times New Roman" w:hAnsi="Times New Roman" w:eastAsia="仿宋_GB2312" w:cs="Times New Roman"/>
          <w:color w:val="auto"/>
          <w:sz w:val="32"/>
          <w:szCs w:val="32"/>
          <w:highlight w:val="none"/>
          <w:lang w:val="en-US" w:eastAsia="zh-CN"/>
        </w:rPr>
        <w:t xml:space="preserve">2023年执行的数字随州8个二级项目</w:t>
      </w:r>
      <w:r>
        <w:rPr>
          <w:rFonts w:hint="default" w:ascii="Times New Roman" w:hAnsi="Times New Roman" w:eastAsia="仿宋_GB2312" w:cs="Times New Roman"/>
          <w:color w:val="auto"/>
          <w:sz w:val="32"/>
          <w:szCs w:val="32"/>
          <w:highlight w:val="none"/>
          <w:lang w:eastAsia="zh-CN"/>
        </w:rPr>
        <w:t xml:space="preserve">合同都约定了免费运维质保期，少的一年，多的三年。系统运维质保期的规定，保障了系统的正常稳定运行</w:t>
      </w:r>
      <w:r>
        <w:rPr>
          <w:rFonts w:hint="default" w:ascii="Times New Roman" w:hAnsi="Times New Roman" w:eastAsia="仿宋_GB2312" w:cs="Times New Roman"/>
          <w:color w:val="auto"/>
          <w:sz w:val="32"/>
          <w:szCs w:val="32"/>
          <w:highlight w:val="none"/>
          <w:lang w:val="en-US" w:eastAsia="zh-CN"/>
        </w:rPr>
        <w:t xml:space="preserve">。</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 xml:space="preserve">产出质量</w:t>
      </w:r>
      <w:r>
        <w:rPr>
          <w:rFonts w:hint="default" w:ascii="Times New Roman" w:hAnsi="Times New Roman" w:eastAsia="仿宋_GB2312" w:cs="Times New Roman"/>
          <w:color w:val="auto"/>
          <w:sz w:val="32"/>
          <w:szCs w:val="32"/>
          <w:highlight w:val="none"/>
        </w:rPr>
        <w:t xml:space="preserve">指标扣</w:t>
      </w:r>
      <w:r>
        <w:rPr>
          <w:rFonts w:hint="default" w:ascii="Times New Roman" w:hAnsi="Times New Roman" w:eastAsia="仿宋_GB2312" w:cs="Times New Roman"/>
          <w:color w:val="auto"/>
          <w:sz w:val="32"/>
          <w:szCs w:val="32"/>
          <w:highlight w:val="none"/>
          <w:lang w:val="en-US" w:eastAsia="zh-CN"/>
        </w:rPr>
        <w:t xml:space="preserve">1</w:t>
      </w:r>
      <w:r>
        <w:rPr>
          <w:rFonts w:hint="default" w:ascii="Times New Roman" w:hAnsi="Times New Roman" w:eastAsia="仿宋_GB2312" w:cs="Times New Roman"/>
          <w:color w:val="auto"/>
          <w:sz w:val="32"/>
          <w:szCs w:val="32"/>
          <w:highlight w:val="none"/>
        </w:rPr>
        <w:t xml:space="preserve">分，得</w:t>
      </w:r>
      <w:r>
        <w:rPr>
          <w:rFonts w:hint="default" w:ascii="Times New Roman" w:hAnsi="Times New Roman" w:eastAsia="仿宋_GB2312" w:cs="Times New Roman"/>
          <w:color w:val="auto"/>
          <w:sz w:val="32"/>
          <w:szCs w:val="32"/>
          <w:highlight w:val="none"/>
          <w:lang w:val="en-US" w:eastAsia="zh-CN"/>
        </w:rPr>
        <w:t xml:space="preserve">12</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52" w:name="_Toc147654986"/>
      <w:r/>
      <w:bookmarkStart w:id="53" w:name="_Toc16374"/>
      <w:r>
        <w:rPr>
          <w:rFonts w:hint="default" w:ascii="Times New Roman" w:hAnsi="Times New Roman" w:eastAsia="楷体_GB2312" w:cs="Times New Roman"/>
          <w:color w:val="auto"/>
          <w:sz w:val="32"/>
          <w:szCs w:val="32"/>
          <w:lang w:val="en-US" w:eastAsia="zh-CN"/>
        </w:rPr>
        <w:t xml:space="preserve">2.3.8产出时效（完成及时性）（9分）</w:t>
      </w:r>
      <w:bookmarkEnd w:id="52"/>
      <w:r/>
      <w:bookmarkEnd w:id="53"/>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bidi="ar-SA"/>
        </w:rPr>
        <w:t xml:space="preserve">评价发现，2023年执行的数字随州8个二级项目都没有在合同规定的时间内完成，最终验收日期延迟时间一般在2-6个月。项目资料中也没有工期延迟的管理资料，项目工期管理存在一定的随意性。</w:t>
      </w:r>
      <w:r>
        <w:rPr>
          <w:rFonts w:hint="default" w:ascii="Times New Roman" w:hAnsi="Times New Roman" w:eastAsia="仿宋_GB2312" w:cs="Times New Roman"/>
          <w:color w:val="auto"/>
          <w:sz w:val="32"/>
          <w:szCs w:val="32"/>
          <w:highlight w:val="none"/>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完成及时性指标扣</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分，得</w:t>
      </w:r>
      <w:r>
        <w:rPr>
          <w:rFonts w:hint="default" w:ascii="Times New Roman" w:hAnsi="Times New Roman" w:eastAsia="仿宋_GB2312" w:cs="Times New Roman"/>
          <w:color w:val="auto"/>
          <w:sz w:val="32"/>
          <w:szCs w:val="32"/>
          <w:highlight w:val="none"/>
          <w:lang w:val="en-US" w:eastAsia="zh-CN"/>
        </w:rPr>
        <w:t xml:space="preserve">5</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54" w:name="_Toc14463"/>
      <w:r/>
      <w:bookmarkStart w:id="55" w:name="_Toc147654987"/>
      <w:r>
        <w:rPr>
          <w:rFonts w:hint="default" w:ascii="Times New Roman" w:hAnsi="Times New Roman" w:eastAsia="楷体_GB2312" w:cs="Times New Roman"/>
          <w:color w:val="auto"/>
          <w:sz w:val="32"/>
          <w:szCs w:val="32"/>
          <w:lang w:val="en-US" w:eastAsia="zh-CN"/>
        </w:rPr>
        <w:t xml:space="preserve">2.3.9产出成本（不超预算）（9分）</w:t>
      </w:r>
      <w:bookmarkEnd w:id="54"/>
      <w:r/>
      <w:bookmarkEnd w:id="55"/>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lang w:val="en-US" w:eastAsia="zh-CN"/>
        </w:rPr>
        <w:t xml:space="preserve">2023年建设内容</w:t>
      </w:r>
      <w:r>
        <w:rPr>
          <w:rFonts w:hint="default" w:ascii="Times New Roman" w:hAnsi="Times New Roman" w:eastAsia="仿宋_GB2312" w:cs="Times New Roman"/>
          <w:color w:val="auto"/>
          <w:sz w:val="32"/>
          <w:szCs w:val="32"/>
          <w:highlight w:val="none"/>
          <w:lang w:eastAsia="zh-CN"/>
        </w:rPr>
        <w:t xml:space="preserve">预算总金额</w:t>
      </w:r>
      <w:r>
        <w:rPr>
          <w:rFonts w:hint="default" w:ascii="Times New Roman" w:hAnsi="Times New Roman" w:eastAsia="仿宋_GB2312" w:cs="Times New Roman"/>
          <w:color w:val="auto"/>
          <w:sz w:val="32"/>
          <w:szCs w:val="32"/>
          <w:highlight w:val="none"/>
          <w:lang w:val="en-US" w:eastAsia="zh-CN"/>
        </w:rPr>
        <w:t xml:space="preserve">5000万元，</w:t>
      </w:r>
      <w:r>
        <w:rPr>
          <w:rFonts w:hint="default" w:ascii="Times New Roman" w:hAnsi="Times New Roman" w:eastAsia="仿宋_GB2312" w:cs="Times New Roman"/>
          <w:color w:val="auto"/>
          <w:sz w:val="32"/>
          <w:szCs w:val="32"/>
          <w:highlight w:val="none"/>
        </w:rPr>
        <w:t xml:space="preserve">截止绩效评价日，</w:t>
      </w:r>
      <w:r>
        <w:rPr>
          <w:rFonts w:hint="default" w:ascii="Times New Roman" w:hAnsi="Times New Roman" w:eastAsia="仿宋_GB2312" w:cs="Times New Roman"/>
          <w:color w:val="auto"/>
          <w:sz w:val="32"/>
          <w:szCs w:val="32"/>
          <w:highlight w:val="none"/>
          <w:lang w:eastAsia="zh-CN"/>
        </w:rPr>
        <w:t xml:space="preserve">数字随州建设项目相关合同总金额</w:t>
      </w:r>
      <w:r>
        <w:rPr>
          <w:rFonts w:hint="default" w:ascii="Times New Roman" w:hAnsi="Times New Roman" w:eastAsia="仿宋_GB2312" w:cs="Times New Roman"/>
          <w:color w:val="auto"/>
          <w:sz w:val="32"/>
          <w:szCs w:val="32"/>
          <w:highlight w:val="none"/>
          <w:lang w:val="en-US" w:eastAsia="zh-CN"/>
        </w:rPr>
        <w:t xml:space="preserve">2049.616万元，实际支付1977.9万元。合同总金额、实际支付金额皆</w:t>
      </w:r>
      <w:r>
        <w:rPr>
          <w:rFonts w:hint="default" w:ascii="Times New Roman" w:hAnsi="Times New Roman" w:eastAsia="仿宋_GB2312" w:cs="Times New Roman"/>
          <w:color w:val="auto"/>
          <w:sz w:val="32"/>
          <w:szCs w:val="32"/>
          <w:highlight w:val="none"/>
        </w:rPr>
        <w:t xml:space="preserve">未超过申报预算金额</w:t>
      </w:r>
      <w:r>
        <w:rPr>
          <w:rFonts w:hint="default" w:ascii="Times New Roman" w:hAnsi="Times New Roman" w:eastAsia="仿宋_GB2312" w:cs="Times New Roman"/>
          <w:color w:val="auto"/>
          <w:sz w:val="32"/>
          <w:szCs w:val="32"/>
          <w:highlight w:val="none"/>
          <w:lang w:val="en-US" w:eastAsia="zh-CN"/>
        </w:rPr>
        <w:t xml:space="preserve">5000</w:t>
      </w:r>
      <w:r>
        <w:rPr>
          <w:rFonts w:hint="default" w:ascii="Times New Roman" w:hAnsi="Times New Roman" w:eastAsia="仿宋_GB2312" w:cs="Times New Roman"/>
          <w:color w:val="auto"/>
          <w:sz w:val="32"/>
          <w:szCs w:val="32"/>
          <w:highlight w:val="none"/>
        </w:rPr>
        <w:t xml:space="preserve">万元。</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不超预算指标不扣分，得</w:t>
      </w:r>
      <w:r>
        <w:rPr>
          <w:rFonts w:hint="default" w:ascii="Times New Roman" w:hAnsi="Times New Roman" w:eastAsia="仿宋_GB2312" w:cs="Times New Roman"/>
          <w:color w:val="auto"/>
          <w:sz w:val="32"/>
          <w:szCs w:val="32"/>
          <w:highlight w:val="none"/>
          <w:lang w:val="en-US" w:eastAsia="zh-CN"/>
        </w:rPr>
        <w:t xml:space="preserve">9</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56" w:name="_Toc147654988"/>
      <w:r/>
      <w:bookmarkStart w:id="57" w:name="_Toc26490"/>
      <w:r>
        <w:rPr>
          <w:rFonts w:hint="default" w:ascii="Times New Roman" w:hAnsi="Times New Roman" w:eastAsia="楷体_GB2312" w:cs="Times New Roman"/>
          <w:color w:val="auto"/>
          <w:sz w:val="32"/>
          <w:szCs w:val="32"/>
          <w:lang w:val="en-US" w:eastAsia="zh-CN"/>
        </w:rPr>
        <w:t xml:space="preserve">2.3.10社会效益（10分）</w:t>
      </w:r>
      <w:bookmarkEnd w:id="56"/>
      <w:r/>
      <w:bookmarkEnd w:id="57"/>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lang w:val="en-US" w:eastAsia="zh-CN" w:bidi="ar-SA"/>
        </w:rPr>
        <w:t xml:space="preserve">2023年实施的数字随州项目一部分是原有平台功能完善、优化和提升，一部分是完善整个政务数字服务的基础功能或专项服务功能建设。12345热线智能整合项目建设内容主要包括热线归并整合及</w:t>
      </w:r>
      <w:r>
        <w:rPr>
          <w:rFonts w:hint="default" w:ascii="Times New Roman" w:hAnsi="Times New Roman" w:eastAsia="仿宋_GB2312" w:cs="Times New Roman"/>
          <w:color w:val="auto"/>
          <w:sz w:val="32"/>
          <w:szCs w:val="32"/>
          <w:highlight w:val="none"/>
          <w:lang w:val="en-US" w:eastAsia="zh-CN" w:bidi="ar-SA"/>
        </w:rPr>
        <w:t xml:space="preserve">系统改造、智能化改造、人员坐席扩容基础设施等，以提升12345热线服务能力；电子证件照系统升级项目是按照国家一体化政务服务平台要求完成随州市电子证照库相应改造，实现电子证照跨域共享应用；共享交换平台升级是解决现有平台目录与国家新的标准不一致的问题，以实现平台覆盖随州市各业务领域的全部数据内容；随州市工程建设项目审批管理系统优化升级是为了优化部分功能、增加水电气等公共事项联合报装、水电气接入外线工程联合报装、多平台对接整合、国产商用密码应用、软件测评及运维服务功能；鄂汇办2022年建设项目是为了进一步提升鄂汇</w:t>
      </w:r>
      <w:r>
        <w:rPr>
          <w:rFonts w:hint="default" w:ascii="Times New Roman" w:hAnsi="Times New Roman" w:eastAsia="仿宋_GB2312" w:cs="Times New Roman"/>
          <w:color w:val="auto"/>
          <w:sz w:val="32"/>
          <w:szCs w:val="32"/>
          <w:highlight w:val="none"/>
          <w:lang w:val="en-US" w:eastAsia="zh-CN" w:bidi="ar-SA"/>
        </w:rPr>
        <w:t xml:space="preserve">办·随州旗舰店的服务能力和知晓度，推动更多事项上线至鄂汇办·随州旗舰店APP，实现群众和企业密切相关的政务服务事项掌上可办。而政务系统密码建设、互联网+监管平台项目是所有政务数字服务的基础设施；随州城市运行管理服务平台（二期）是城市管理服务的专项平台，项目建设的目的是为了提升城市管理效率，加强城市安全监测，提升创文创卫工作效率，促进城管部门工作由管理向服务转型，促进随州市城市管理迈向智慧化，促进随州市经济社会协调发展。2023年实施的数字随州项目都是直接服务社会或提高改善服务功能的项目，具有明显的社会效益。</w:t>
      </w:r>
      <w:r>
        <w:rPr>
          <w:rFonts w:hint="default" w:ascii="Times New Roman" w:hAnsi="Times New Roman" w:eastAsia="仿宋_GB2312" w:cs="Times New Roman"/>
          <w:color w:val="auto"/>
          <w:sz w:val="32"/>
          <w:szCs w:val="32"/>
          <w:highlight w:val="yellow"/>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社会效益指标不扣分，得10分。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58" w:name="_Toc20150"/>
      <w:r/>
      <w:bookmarkStart w:id="59" w:name="_Toc147654989"/>
      <w:r>
        <w:rPr>
          <w:rFonts w:hint="default" w:ascii="Times New Roman" w:hAnsi="Times New Roman" w:eastAsia="楷体_GB2312" w:cs="Times New Roman"/>
          <w:color w:val="auto"/>
          <w:sz w:val="32"/>
          <w:szCs w:val="32"/>
          <w:lang w:val="en-US" w:eastAsia="zh-CN"/>
        </w:rPr>
        <w:t xml:space="preserve">2.3.11满意度（10分）</w:t>
      </w:r>
      <w:bookmarkEnd w:id="58"/>
      <w:r/>
      <w:bookmarkEnd w:id="59"/>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 xml:space="preserve">数字随州目前实施了8个项目，我们针对每个项目情况设计了不同的调查问卷，按每个项目的不同适用对象随机发放10份调查问卷。根据收回的调查问卷，8个项目的综合满意度为98%。</w:t>
      </w:r>
      <w:r>
        <w:rPr>
          <w:rFonts w:hint="default" w:ascii="Times New Roman" w:hAnsi="Times New Roman" w:eastAsia="仿宋_GB2312" w:cs="Times New Roman"/>
          <w:color w:val="auto"/>
          <w:sz w:val="32"/>
          <w:szCs w:val="32"/>
          <w:highlight w:val="yellow"/>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满意度指标</w:t>
      </w:r>
      <w:r>
        <w:rPr>
          <w:rFonts w:hint="default" w:ascii="Times New Roman" w:hAnsi="Times New Roman" w:eastAsia="仿宋_GB2312" w:cs="Times New Roman"/>
          <w:color w:val="auto"/>
          <w:sz w:val="32"/>
          <w:szCs w:val="32"/>
          <w:highlight w:val="none"/>
          <w:lang w:eastAsia="zh-CN"/>
        </w:rPr>
        <w:t xml:space="preserve">不</w:t>
      </w:r>
      <w:r>
        <w:rPr>
          <w:rFonts w:hint="default" w:ascii="Times New Roman" w:hAnsi="Times New Roman" w:eastAsia="仿宋_GB2312" w:cs="Times New Roman"/>
          <w:color w:val="auto"/>
          <w:sz w:val="32"/>
          <w:szCs w:val="32"/>
          <w:highlight w:val="none"/>
        </w:rPr>
        <w:t xml:space="preserve">扣分，得</w:t>
      </w:r>
      <w:r>
        <w:rPr>
          <w:rFonts w:hint="default" w:ascii="Times New Roman" w:hAnsi="Times New Roman" w:eastAsia="仿宋_GB2312" w:cs="Times New Roman"/>
          <w:color w:val="auto"/>
          <w:sz w:val="32"/>
          <w:szCs w:val="32"/>
          <w:highlight w:val="none"/>
          <w:lang w:val="en-US" w:eastAsia="zh-CN"/>
        </w:rPr>
        <w:t xml:space="preserve">10</w:t>
      </w:r>
      <w:r>
        <w:rPr>
          <w:rFonts w:hint="default" w:ascii="Times New Roman" w:hAnsi="Times New Roman" w:eastAsia="仿宋_GB2312" w:cs="Times New Roman"/>
          <w:color w:val="auto"/>
          <w:sz w:val="32"/>
          <w:szCs w:val="32"/>
          <w:highlight w:val="none"/>
        </w:rPr>
        <w:t xml:space="preserve">分。</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60" w:name="_Toc17070"/>
      <w:r/>
      <w:bookmarkStart w:id="61" w:name="_Toc147654990"/>
      <w:r>
        <w:rPr>
          <w:rFonts w:hint="default" w:ascii="Times New Roman" w:hAnsi="Times New Roman" w:eastAsia="楷体_GB2312" w:cs="Times New Roman"/>
          <w:color w:val="auto"/>
          <w:sz w:val="32"/>
          <w:szCs w:val="32"/>
          <w:lang w:val="en-US" w:eastAsia="zh-CN"/>
        </w:rPr>
        <w:t xml:space="preserve">2.4上年度评价结果应用情况</w:t>
      </w:r>
      <w:bookmarkEnd w:id="60"/>
      <w:r/>
      <w:bookmarkEnd w:id="61"/>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上年度未对</w:t>
      </w:r>
      <w:r>
        <w:rPr>
          <w:rFonts w:hint="default" w:ascii="Times New Roman" w:hAnsi="Times New Roman" w:eastAsia="仿宋_GB2312" w:cs="Times New Roman"/>
          <w:color w:val="auto"/>
          <w:sz w:val="32"/>
          <w:szCs w:val="32"/>
          <w:highlight w:val="none"/>
          <w:lang w:eastAsia="zh-CN"/>
        </w:rPr>
        <w:t xml:space="preserve">数字随州建设项目</w:t>
      </w:r>
      <w:r>
        <w:rPr>
          <w:rFonts w:hint="default" w:ascii="Times New Roman" w:hAnsi="Times New Roman" w:eastAsia="仿宋_GB2312" w:cs="Times New Roman"/>
          <w:color w:val="auto"/>
          <w:sz w:val="32"/>
          <w:szCs w:val="32"/>
          <w:highlight w:val="none"/>
        </w:rPr>
        <w:t xml:space="preserve">开展财政绩效评价。</w:t>
      </w:r>
      <w:r>
        <w:rPr>
          <w:rFonts w:hint="default" w:ascii="Times New Roman" w:hAnsi="Times New Roman" w:eastAsia="仿宋_GB2312" w:cs="Times New Roman"/>
          <w:color w:val="auto"/>
          <w:sz w:val="32"/>
          <w:szCs w:val="32"/>
          <w:highlight w:val="none"/>
        </w:rPr>
      </w:r>
    </w:p>
    <w:p>
      <w:pPr>
        <w:pStyle w:val="711"/>
        <w:keepNext w:val="false"/>
        <w:keepLines w:val="false"/>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62" w:name="_Toc5934"/>
      <w:r/>
      <w:bookmarkStart w:id="63" w:name="_Toc147654991"/>
      <w:r>
        <w:rPr>
          <w:rFonts w:hint="default" w:ascii="Times New Roman" w:hAnsi="Times New Roman" w:eastAsia="楷体_GB2312" w:cs="Times New Roman"/>
          <w:color w:val="auto"/>
          <w:sz w:val="32"/>
          <w:szCs w:val="32"/>
          <w:lang w:val="en-US" w:eastAsia="zh-CN"/>
        </w:rPr>
        <w:t xml:space="preserve">2.5其他佐证资料</w:t>
      </w:r>
      <w:bookmarkEnd w:id="62"/>
      <w:r/>
      <w:bookmarkEnd w:id="63"/>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无</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580" w:lineRule="exact"/>
        <w:ind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580" w:lineRule="exact"/>
        <w:ind w:firstLine="38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湖北秉正会计师事务有限公司   </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580" w:lineRule="exact"/>
        <w:ind w:firstLine="448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主评人：</w:t>
      </w:r>
      <w:r>
        <w:rPr>
          <w:rFonts w:hint="default" w:ascii="Times New Roman" w:hAnsi="Times New Roman" w:eastAsia="仿宋_GB2312" w:cs="Times New Roman"/>
          <w:color w:val="auto"/>
          <w:sz w:val="32"/>
          <w:szCs w:val="32"/>
          <w:u w:val="none"/>
        </w:rPr>
        <w:t xml:space="preserve">余 亮</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580" w:lineRule="exact"/>
        <w:ind w:firstLine="448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主评人：</w:t>
      </w:r>
      <w:r>
        <w:rPr>
          <w:rFonts w:hint="default" w:ascii="Times New Roman" w:hAnsi="Times New Roman" w:eastAsia="仿宋_GB2312" w:cs="Times New Roman"/>
          <w:color w:val="auto"/>
          <w:sz w:val="32"/>
          <w:szCs w:val="32"/>
          <w:u w:val="none"/>
        </w:rPr>
        <w:t xml:space="preserve">潘 明</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580" w:lineRule="exact"/>
        <w:ind w:firstLine="448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202</w:t>
      </w:r>
      <w:r>
        <w:rPr>
          <w:rFonts w:hint="default" w:ascii="Times New Roman" w:hAnsi="Times New Roman" w:eastAsia="仿宋_GB2312" w:cs="Times New Roman"/>
          <w:color w:val="auto"/>
          <w:sz w:val="32"/>
          <w:szCs w:val="32"/>
          <w:highlight w:val="none"/>
          <w:lang w:val="en-US" w:eastAsia="zh-CN"/>
        </w:rPr>
        <w:t xml:space="preserve">4</w:t>
      </w:r>
      <w:r>
        <w:rPr>
          <w:rFonts w:hint="default" w:ascii="Times New Roman" w:hAnsi="Times New Roman" w:eastAsia="仿宋_GB2312" w:cs="Times New Roman"/>
          <w:color w:val="auto"/>
          <w:sz w:val="32"/>
          <w:szCs w:val="32"/>
          <w:highlight w:val="none"/>
        </w:rPr>
        <w:t xml:space="preserve">年</w:t>
      </w:r>
      <w:r>
        <w:rPr>
          <w:rFonts w:hint="default" w:ascii="Times New Roman" w:hAnsi="Times New Roman" w:eastAsia="仿宋_GB2312" w:cs="Times New Roman"/>
          <w:color w:val="auto"/>
          <w:sz w:val="32"/>
          <w:szCs w:val="32"/>
          <w:highlight w:val="none"/>
          <w:lang w:val="en-US" w:eastAsia="zh-CN"/>
        </w:rPr>
        <w:t xml:space="preserve">8</w:t>
      </w:r>
      <w:r>
        <w:rPr>
          <w:rFonts w:hint="default" w:ascii="Times New Roman" w:hAnsi="Times New Roman" w:eastAsia="仿宋_GB2312" w:cs="Times New Roman"/>
          <w:color w:val="auto"/>
          <w:sz w:val="32"/>
          <w:szCs w:val="32"/>
          <w:highlight w:val="none"/>
        </w:rPr>
        <w:t xml:space="preserve">月</w:t>
      </w:r>
      <w:r>
        <w:rPr>
          <w:rFonts w:hint="default" w:ascii="Times New Roman" w:hAnsi="Times New Roman" w:eastAsia="仿宋_GB2312" w:cs="Times New Roman"/>
          <w:color w:val="auto"/>
          <w:sz w:val="32"/>
          <w:szCs w:val="32"/>
          <w:highlight w:val="none"/>
          <w:lang w:val="en-US" w:eastAsia="zh-CN"/>
        </w:rPr>
        <w:t xml:space="preserve">1</w:t>
      </w:r>
      <w:r>
        <w:rPr>
          <w:rFonts w:hint="default" w:ascii="Times New Roman" w:hAnsi="Times New Roman" w:eastAsia="仿宋_GB2312" w:cs="Times New Roman"/>
          <w:color w:val="auto"/>
          <w:sz w:val="32"/>
          <w:szCs w:val="32"/>
          <w:highlight w:val="none"/>
        </w:rPr>
        <w:t xml:space="preserve">0日      </w:t>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580" w:lineRule="exact"/>
        <w:ind w:firstLine="0" w:left="0"/>
        <w:rPr>
          <w:rFonts w:hint="eastAsia" w:eastAsia="方正小标宋_GBK" w:cs="Times New Roman"/>
          <w:b/>
          <w:bCs/>
          <w:color w:val="auto"/>
          <w:sz w:val="36"/>
          <w:szCs w:val="36"/>
          <w:highlight w:val="none"/>
          <w:lang w:val="en-US" w:eastAsia="zh-CN"/>
        </w:rPr>
      </w:pPr>
      <w:r>
        <w:rPr>
          <w:rFonts w:hint="eastAsia" w:eastAsia="方正小标宋_GBK" w:cs="Times New Roman"/>
          <w:b/>
          <w:bCs/>
          <w:color w:val="auto"/>
          <w:sz w:val="36"/>
          <w:szCs w:val="36"/>
          <w:highlight w:val="none"/>
          <w:lang w:val="en-US" w:eastAsia="zh-CN"/>
        </w:rPr>
        <w:br w:type="page" w:clear="all"/>
      </w:r>
      <w:r>
        <w:rPr>
          <w:rFonts w:hint="eastAsia" w:eastAsia="方正小标宋_GBK" w:cs="Times New Roman"/>
          <w:b/>
          <w:bCs/>
          <w:color w:val="auto"/>
          <w:sz w:val="36"/>
          <w:szCs w:val="36"/>
          <w:highlight w:val="none"/>
          <w:lang w:val="en-US" w:eastAsia="zh-CN"/>
        </w:rPr>
      </w:r>
    </w:p>
    <w:p>
      <w:pPr>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b w:val="0"/>
          <w:bCs w:val="0"/>
          <w:color w:val="auto"/>
          <w:sz w:val="40"/>
          <w:szCs w:val="40"/>
          <w:highlight w:val="none"/>
          <w:lang w:val="en-US" w:eastAsia="zh-Hans"/>
        </w:rPr>
      </w:pPr>
      <w:r>
        <w:rPr>
          <w:rFonts w:hint="eastAsia" w:ascii="方正小标宋简体" w:hAnsi="方正小标宋简体" w:eastAsia="方正小标宋简体" w:cs="方正小标宋简体"/>
          <w:b w:val="0"/>
          <w:bCs w:val="0"/>
          <w:color w:val="auto"/>
          <w:sz w:val="40"/>
          <w:szCs w:val="40"/>
          <w:highlight w:val="none"/>
          <w:lang w:val="en-US" w:eastAsia="zh-CN"/>
        </w:rPr>
        <w:t xml:space="preserve">福彩公益金市县分成资金</w:t>
      </w:r>
      <w:r>
        <w:rPr>
          <w:rFonts w:hint="eastAsia" w:ascii="方正小标宋简体" w:hAnsi="方正小标宋简体" w:eastAsia="方正小标宋简体" w:cs="方正小标宋简体"/>
          <w:b w:val="0"/>
          <w:bCs w:val="0"/>
          <w:color w:val="auto"/>
          <w:sz w:val="40"/>
          <w:szCs w:val="40"/>
          <w:highlight w:val="none"/>
          <w:lang w:val="en-US" w:eastAsia="zh-Hans"/>
        </w:rPr>
        <w:t xml:space="preserve">项目支出</w:t>
      </w:r>
      <w:r>
        <w:rPr>
          <w:rFonts w:hint="eastAsia" w:ascii="方正小标宋简体" w:hAnsi="方正小标宋简体" w:eastAsia="方正小标宋简体" w:cs="方正小标宋简体"/>
          <w:b w:val="0"/>
          <w:bCs w:val="0"/>
          <w:color w:val="auto"/>
          <w:sz w:val="40"/>
          <w:szCs w:val="40"/>
          <w:highlight w:val="none"/>
          <w:lang w:val="en-US" w:eastAsia="zh-Hans"/>
        </w:rPr>
      </w:r>
    </w:p>
    <w:p>
      <w:pPr>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b w:val="0"/>
          <w:bCs w:val="0"/>
          <w:color w:val="auto"/>
          <w:sz w:val="40"/>
          <w:szCs w:val="40"/>
          <w:highlight w:val="none"/>
          <w:lang w:val="en-US" w:eastAsia="zh-Hans"/>
        </w:rPr>
      </w:pPr>
      <w:r>
        <w:rPr>
          <w:rFonts w:hint="eastAsia" w:ascii="方正小标宋简体" w:hAnsi="方正小标宋简体" w:eastAsia="方正小标宋简体" w:cs="方正小标宋简体"/>
          <w:b w:val="0"/>
          <w:bCs w:val="0"/>
          <w:color w:val="auto"/>
          <w:sz w:val="40"/>
          <w:szCs w:val="40"/>
          <w:highlight w:val="none"/>
          <w:lang w:val="en-US" w:eastAsia="zh-Hans"/>
        </w:rPr>
        <w:t xml:space="preserve">绩效评价报告</w:t>
      </w:r>
      <w:r>
        <w:rPr>
          <w:rFonts w:hint="eastAsia" w:ascii="方正小标宋简体" w:hAnsi="方正小标宋简体" w:eastAsia="方正小标宋简体" w:cs="方正小标宋简体"/>
          <w:b w:val="0"/>
          <w:bCs w:val="0"/>
          <w:color w:val="auto"/>
          <w:sz w:val="40"/>
          <w:szCs w:val="40"/>
          <w:highlight w:val="none"/>
          <w:lang w:val="en-US" w:eastAsia="zh-Hans"/>
        </w:rPr>
      </w:r>
    </w:p>
    <w:p>
      <w:pPr>
        <w:keepNext w:val="false"/>
        <w:keepLines w:val="false"/>
        <w:pageBreakBefore w:val="false"/>
        <w:widowControl w:val="false"/>
        <w:pBdr/>
        <w:spacing w:line="560" w:lineRule="exact"/>
        <w:ind/>
        <w:jc w:val="center"/>
        <w:rPr>
          <w:rFonts w:hint="eastAsia" w:ascii="方正小标宋简体" w:hAnsi="方正小标宋简体" w:eastAsia="方正小标宋简体" w:cs="方正小标宋简体"/>
          <w:b w:val="0"/>
          <w:bCs w:val="0"/>
          <w:color w:val="auto"/>
          <w:sz w:val="40"/>
          <w:szCs w:val="40"/>
          <w:highlight w:val="none"/>
          <w:lang w:val="en-US" w:eastAsia="zh-Hans"/>
        </w:rPr>
      </w:pPr>
      <w:r>
        <w:rPr>
          <w:rFonts w:hint="eastAsia" w:ascii="方正小标宋简体" w:hAnsi="方正小标宋简体" w:eastAsia="方正小标宋简体" w:cs="方正小标宋简体"/>
          <w:b w:val="0"/>
          <w:bCs w:val="0"/>
          <w:color w:val="auto"/>
          <w:sz w:val="40"/>
          <w:szCs w:val="40"/>
          <w:highlight w:val="none"/>
          <w:lang w:val="en-US" w:eastAsia="zh-Hans"/>
        </w:rPr>
      </w:r>
      <w:r>
        <w:rPr>
          <w:rFonts w:hint="eastAsia" w:ascii="方正小标宋简体" w:hAnsi="方正小标宋简体" w:eastAsia="方正小标宋简体" w:cs="方正小标宋简体"/>
          <w:b w:val="0"/>
          <w:bCs w:val="0"/>
          <w:color w:val="auto"/>
          <w:sz w:val="40"/>
          <w:szCs w:val="40"/>
          <w:highlight w:val="none"/>
          <w:lang w:val="en-US" w:eastAsia="zh-Hans"/>
        </w:rPr>
      </w:r>
    </w:p>
    <w:p>
      <w:pPr>
        <w:pStyle w:val="710"/>
        <w:pageBreakBefore w:val="false"/>
        <w:widowControl w:val="false"/>
        <w:pBdr/>
        <w:spacing w:line="620" w:lineRule="exact"/>
        <w:ind w:firstLine="640"/>
        <w:rPr>
          <w:rFonts w:hint="default" w:ascii="Times New Roman" w:hAnsi="Times New Roman" w:cs="Times New Roman"/>
          <w:b w:val="0"/>
          <w:bCs/>
          <w:color w:val="auto"/>
          <w:sz w:val="32"/>
          <w:szCs w:val="32"/>
        </w:rPr>
      </w:pPr>
      <w:r/>
      <w:bookmarkStart w:id="64" w:name="_Toc17696"/>
      <w:r/>
      <w:bookmarkStart w:id="65" w:name="_Toc16939"/>
      <w:r/>
      <w:bookmarkStart w:id="66" w:name="_Toc18410"/>
      <w:r>
        <w:rPr>
          <w:rFonts w:hint="default" w:ascii="Times New Roman" w:hAnsi="Times New Roman" w:cs="Times New Roman"/>
          <w:b w:val="0"/>
          <w:bCs/>
          <w:color w:val="auto"/>
          <w:sz w:val="32"/>
          <w:szCs w:val="32"/>
          <w:lang w:val="en-US" w:eastAsia="zh-CN"/>
        </w:rPr>
        <w:t xml:space="preserve">1</w:t>
      </w:r>
      <w:r>
        <w:rPr>
          <w:rFonts w:hint="default" w:ascii="Times New Roman" w:hAnsi="Times New Roman" w:cs="Times New Roman"/>
          <w:b w:val="0"/>
          <w:bCs/>
          <w:color w:val="auto"/>
          <w:sz w:val="32"/>
          <w:szCs w:val="32"/>
        </w:rPr>
        <w:t xml:space="preserve">评价结论</w:t>
      </w:r>
      <w:bookmarkEnd w:id="64"/>
      <w:r/>
      <w:bookmarkEnd w:id="65"/>
      <w:r/>
      <w:bookmarkEnd w:id="66"/>
      <w:r/>
      <w:r>
        <w:rPr>
          <w:rFonts w:hint="default" w:ascii="Times New Roman" w:hAnsi="Times New Roman" w:cs="Times New Roman"/>
          <w:b w:val="0"/>
          <w:bCs/>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eastAsia="zh-CN"/>
        </w:rPr>
      </w:pPr>
      <w:r/>
      <w:bookmarkStart w:id="67" w:name="_Toc29709"/>
      <w:r/>
      <w:bookmarkStart w:id="68" w:name="_Toc16472"/>
      <w:r/>
      <w:bookmarkStart w:id="69" w:name="_Toc12902"/>
      <w:r>
        <w:rPr>
          <w:rFonts w:hint="default" w:ascii="Times New Roman" w:hAnsi="Times New Roman" w:eastAsia="楷体_GB2312" w:cs="Times New Roman"/>
          <w:color w:val="auto"/>
          <w:sz w:val="32"/>
          <w:szCs w:val="32"/>
          <w:lang w:val="en-US" w:eastAsia="zh-CN"/>
        </w:rPr>
        <w:t xml:space="preserve">1.1</w:t>
      </w:r>
      <w:r>
        <w:rPr>
          <w:rFonts w:hint="default" w:ascii="Times New Roman" w:hAnsi="Times New Roman" w:eastAsia="楷体_GB2312" w:cs="Times New Roman"/>
          <w:color w:val="auto"/>
          <w:sz w:val="32"/>
          <w:szCs w:val="32"/>
          <w:lang w:eastAsia="zh-CN"/>
        </w:rPr>
        <w:t xml:space="preserve">评价分数和等级</w:t>
      </w:r>
      <w:bookmarkEnd w:id="67"/>
      <w:r/>
      <w:bookmarkEnd w:id="68"/>
      <w:r/>
      <w:bookmarkEnd w:id="69"/>
      <w:r/>
      <w:r>
        <w:rPr>
          <w:rFonts w:hint="default" w:ascii="Times New Roman" w:hAnsi="Times New Roman" w:eastAsia="楷体_GB2312" w:cs="Times New Roman"/>
          <w:color w:val="auto"/>
          <w:sz w:val="32"/>
          <w:szCs w:val="32"/>
          <w:lang w:eastAsia="zh-CN"/>
        </w:rPr>
      </w:r>
    </w:p>
    <w:p>
      <w:pPr>
        <w:pageBreakBefore w:val="false"/>
        <w:widowControl w:val="false"/>
        <w:pBdr/>
        <w:spacing w:line="620" w:lineRule="exact"/>
        <w:ind w:firstLine="640"/>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 xml:space="preserve">随州市民政局</w:t>
      </w:r>
      <w:r>
        <w:rPr>
          <w:rFonts w:hint="default" w:ascii="Times New Roman" w:hAnsi="Times New Roman" w:cs="Times New Roman"/>
          <w:color w:val="auto"/>
          <w:sz w:val="32"/>
          <w:szCs w:val="32"/>
          <w:lang w:eastAsia="zh-CN"/>
        </w:rPr>
        <w:t xml:space="preserve">（</w:t>
      </w:r>
      <w:r>
        <w:rPr>
          <w:rFonts w:hint="default" w:ascii="Times New Roman" w:hAnsi="Times New Roman" w:cs="Times New Roman"/>
          <w:color w:val="auto"/>
          <w:sz w:val="32"/>
          <w:szCs w:val="32"/>
          <w:lang w:val="en-US" w:eastAsia="zh-CN"/>
        </w:rPr>
        <w:t xml:space="preserve">以下简称“市民政局”</w:t>
      </w:r>
      <w:r>
        <w:rPr>
          <w:rFonts w:hint="default" w:ascii="Times New Roman" w:hAnsi="Times New Roman" w:cs="Times New Roman"/>
          <w:color w:val="auto"/>
          <w:sz w:val="32"/>
          <w:szCs w:val="32"/>
          <w:lang w:eastAsia="zh-CN"/>
        </w:rPr>
        <w:t xml:space="preserve">）福彩公益金市县分成资金项目</w:t>
      </w:r>
      <w:r>
        <w:rPr>
          <w:rFonts w:hint="default" w:ascii="Times New Roman" w:hAnsi="Times New Roman" w:cs="Times New Roman"/>
          <w:color w:val="auto"/>
          <w:sz w:val="32"/>
          <w:szCs w:val="32"/>
        </w:rPr>
        <w:t xml:space="preserve">支出绩效评价</w:t>
      </w:r>
      <w:r>
        <w:rPr>
          <w:rFonts w:hint="default" w:ascii="Times New Roman" w:hAnsi="Times New Roman" w:cs="Times New Roman"/>
          <w:color w:val="auto"/>
          <w:sz w:val="32"/>
          <w:szCs w:val="32"/>
          <w:lang w:eastAsia="zh-CN"/>
        </w:rPr>
        <w:t xml:space="preserve">项目</w:t>
      </w:r>
      <w:r>
        <w:rPr>
          <w:rFonts w:hint="default" w:ascii="Times New Roman" w:hAnsi="Times New Roman" w:cs="Times New Roman"/>
          <w:color w:val="auto"/>
          <w:sz w:val="32"/>
          <w:szCs w:val="32"/>
        </w:rPr>
        <w:t xml:space="preserve">综合评分</w:t>
      </w:r>
      <w:r>
        <w:rPr>
          <w:rFonts w:hint="default" w:ascii="Times New Roman" w:hAnsi="Times New Roman" w:cs="Times New Roman"/>
          <w:color w:val="auto"/>
          <w:sz w:val="32"/>
          <w:szCs w:val="32"/>
          <w:lang w:val="en-US" w:eastAsia="zh-CN"/>
        </w:rPr>
        <w:t xml:space="preserve">92.38</w:t>
      </w:r>
      <w:r>
        <w:rPr>
          <w:rFonts w:hint="default" w:ascii="Times New Roman" w:hAnsi="Times New Roman" w:cs="Times New Roman"/>
          <w:color w:val="auto"/>
          <w:sz w:val="32"/>
          <w:szCs w:val="32"/>
        </w:rPr>
        <w:t xml:space="preserve">分，评价等级为</w:t>
      </w:r>
      <w:r>
        <w:rPr>
          <w:rFonts w:hint="default" w:ascii="Times New Roman" w:hAnsi="Times New Roman" w:cs="Times New Roman"/>
          <w:color w:val="auto"/>
          <w:sz w:val="32"/>
          <w:szCs w:val="32"/>
          <w:lang w:eastAsia="zh-CN"/>
        </w:rPr>
        <w:t xml:space="preserve">“</w:t>
      </w:r>
      <w:r>
        <w:rPr>
          <w:rFonts w:hint="default" w:ascii="Times New Roman" w:hAnsi="Times New Roman" w:cs="Times New Roman"/>
          <w:color w:val="auto"/>
          <w:sz w:val="32"/>
          <w:szCs w:val="32"/>
          <w:lang w:val="en-US" w:eastAsia="zh-CN"/>
        </w:rPr>
        <w:t xml:space="preserve">优</w:t>
      </w:r>
      <w:r>
        <w:rPr>
          <w:rFonts w:hint="default" w:ascii="Times New Roman" w:hAnsi="Times New Roman" w:cs="Times New Roman"/>
          <w:color w:val="auto"/>
          <w:sz w:val="32"/>
          <w:szCs w:val="32"/>
          <w:lang w:eastAsia="zh-CN"/>
        </w:rPr>
        <w:t xml:space="preserve">”</w:t>
      </w:r>
      <w:r>
        <w:rPr>
          <w:rFonts w:hint="default" w:ascii="Times New Roman" w:hAnsi="Times New Roman" w:cs="Times New Roman"/>
          <w:color w:val="auto"/>
          <w:sz w:val="32"/>
          <w:szCs w:val="32"/>
        </w:rPr>
        <w:t xml:space="preserve">。</w:t>
      </w:r>
      <w:r>
        <w:rPr>
          <w:rFonts w:hint="default" w:ascii="Times New Roman" w:hAnsi="Times New Roman" w:cs="Times New Roman"/>
          <w:color w:val="auto"/>
          <w:sz w:val="32"/>
          <w:szCs w:val="32"/>
        </w:rPr>
      </w:r>
    </w:p>
    <w:p>
      <w:pPr>
        <w:pageBreakBefore w:val="false"/>
        <w:widowControl w:val="false"/>
        <w:pBdr/>
        <w:spacing w:line="620" w:lineRule="exact"/>
        <w:ind w:firstLine="0" w:left="0"/>
        <w:jc w:val="center"/>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 xml:space="preserve">表1-绩效评价得分表</w:t>
      </w:r>
      <w:r>
        <w:rPr>
          <w:rFonts w:hint="default" w:ascii="Times New Roman" w:hAnsi="Times New Roman" w:cs="Times New Roman"/>
          <w:b/>
          <w:bCs/>
          <w:color w:val="auto"/>
          <w:sz w:val="32"/>
          <w:szCs w:val="32"/>
          <w:lang w:val="en-US" w:eastAsia="zh-CN"/>
        </w:rPr>
      </w:r>
    </w:p>
    <w:tbl>
      <w:tblPr>
        <w:tblStyle w:val="71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top w:w="0" w:type="dxa"/>
          <w:right w:w="108" w:type="dxa"/>
          <w:bottom w:w="0" w:type="dxa"/>
        </w:tblCellMar>
        <w:tblLook w:val="04A0" w:firstRow="1" w:lastRow="0" w:firstColumn="1" w:lastColumn="0" w:noHBand="0" w:noVBand="1"/>
      </w:tblPr>
      <w:tblGrid>
        <w:gridCol w:w="2789"/>
        <w:gridCol w:w="3439"/>
        <w:gridCol w:w="2715"/>
      </w:tblGrid>
      <w:tr>
        <w:trPr>
          <w:jc w:val="center"/>
          <w:trHeight w:val="397" w:hRule="exact"/>
        </w:trPr>
        <w:tc>
          <w:tcPr>
            <w:shd w:val="pct90" w:color="ffffff" w:fill="auto"/>
            <w:tcBorders>
              <w:top w:val="single" w:color="000000" w:sz="4" w:space="0"/>
              <w:left w:val="single" w:color="000000" w:sz="4" w:space="0"/>
              <w:bottom w:val="single" w:color="000000" w:sz="4" w:space="0"/>
              <w:right w:val="single" w:color="000000" w:sz="4" w:space="0"/>
            </w:tcBorders>
            <w:tcW w:w="1559"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b/>
                <w:bCs/>
                <w:i w:val="0"/>
                <w:iCs w:val="0"/>
                <w:color w:val="auto"/>
                <w:sz w:val="24"/>
                <w:szCs w:val="24"/>
                <w:u w:val="none"/>
                <w:lang w:val="en-US" w:eastAsia="zh-CN" w:bidi="ar"/>
              </w:rPr>
            </w:pPr>
            <w:r>
              <w:rPr>
                <w:rFonts w:hint="default" w:ascii="Times New Roman" w:hAnsi="Times New Roman" w:eastAsia="宋体" w:cs="Times New Roman"/>
                <w:b/>
                <w:bCs/>
                <w:i w:val="0"/>
                <w:iCs w:val="0"/>
                <w:color w:val="auto"/>
                <w:sz w:val="24"/>
                <w:szCs w:val="24"/>
                <w:u w:val="none"/>
                <w:lang w:val="en-US" w:eastAsia="zh-CN" w:bidi="ar"/>
              </w:rPr>
              <w:t xml:space="preserve">一级指标</w:t>
            </w:r>
            <w:r>
              <w:rPr>
                <w:rFonts w:hint="default" w:ascii="Times New Roman" w:hAnsi="Times New Roman" w:eastAsia="宋体" w:cs="Times New Roman"/>
                <w:b/>
                <w:bCs/>
                <w:i w:val="0"/>
                <w:iCs w:val="0"/>
                <w:color w:val="auto"/>
                <w:sz w:val="24"/>
                <w:szCs w:val="24"/>
                <w:u w:val="none"/>
                <w:lang w:val="en-US" w:eastAsia="zh-CN" w:bidi="ar"/>
              </w:rPr>
            </w:r>
          </w:p>
        </w:tc>
        <w:tc>
          <w:tcPr>
            <w:shd w:val="pct90" w:color="ffffff" w:fill="auto"/>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b/>
                <w:bCs/>
                <w:i w:val="0"/>
                <w:iCs w:val="0"/>
                <w:color w:val="auto"/>
                <w:sz w:val="24"/>
                <w:szCs w:val="24"/>
                <w:u w:val="none"/>
                <w:lang w:val="en-US" w:eastAsia="zh-CN" w:bidi="ar"/>
              </w:rPr>
            </w:pPr>
            <w:r>
              <w:rPr>
                <w:rFonts w:hint="default" w:ascii="Times New Roman" w:hAnsi="Times New Roman" w:eastAsia="宋体" w:cs="Times New Roman"/>
                <w:b/>
                <w:bCs/>
                <w:i w:val="0"/>
                <w:iCs w:val="0"/>
                <w:color w:val="auto"/>
                <w:sz w:val="24"/>
                <w:szCs w:val="24"/>
                <w:u w:val="none"/>
                <w:lang w:val="en-US" w:eastAsia="zh-CN" w:bidi="ar"/>
              </w:rPr>
              <w:t xml:space="preserve">指标权重</w:t>
            </w:r>
            <w:r>
              <w:rPr>
                <w:rFonts w:hint="default" w:ascii="Times New Roman" w:hAnsi="Times New Roman" w:eastAsia="宋体" w:cs="Times New Roman"/>
                <w:b/>
                <w:bCs/>
                <w:i w:val="0"/>
                <w:iCs w:val="0"/>
                <w:color w:val="auto"/>
                <w:sz w:val="24"/>
                <w:szCs w:val="24"/>
                <w:u w:val="none"/>
                <w:lang w:val="en-US" w:eastAsia="zh-CN" w:bidi="ar"/>
              </w:rPr>
            </w:r>
          </w:p>
        </w:tc>
        <w:tc>
          <w:tcPr>
            <w:shd w:val="pct90" w:color="ffffff" w:fill="auto"/>
            <w:tcBorders>
              <w:top w:val="single" w:color="000000" w:sz="4" w:space="0"/>
              <w:left w:val="single" w:color="000000" w:sz="4" w:space="0"/>
              <w:bottom w:val="single" w:color="000000" w:sz="4" w:space="0"/>
              <w:right w:val="single" w:color="000000" w:sz="4" w:space="0"/>
            </w:tcBorders>
            <w:tcW w:w="1517"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b/>
                <w:bCs/>
                <w:i w:val="0"/>
                <w:iCs w:val="0"/>
                <w:color w:val="auto"/>
                <w:sz w:val="24"/>
                <w:szCs w:val="24"/>
                <w:u w:val="none"/>
                <w:lang w:val="en-US" w:eastAsia="zh-CN" w:bidi="ar"/>
              </w:rPr>
            </w:pPr>
            <w:r>
              <w:rPr>
                <w:rFonts w:hint="default" w:ascii="Times New Roman" w:hAnsi="Times New Roman" w:eastAsia="宋体" w:cs="Times New Roman"/>
                <w:b/>
                <w:bCs/>
                <w:i w:val="0"/>
                <w:iCs w:val="0"/>
                <w:color w:val="auto"/>
                <w:sz w:val="24"/>
                <w:szCs w:val="24"/>
                <w:u w:val="none"/>
                <w:lang w:val="en-US" w:eastAsia="zh-CN" w:bidi="ar"/>
              </w:rPr>
              <w:t xml:space="preserve">评价得分</w:t>
            </w:r>
            <w:r>
              <w:rPr>
                <w:rFonts w:hint="default" w:ascii="Times New Roman" w:hAnsi="Times New Roman" w:eastAsia="宋体" w:cs="Times New Roman"/>
                <w:b/>
                <w:bCs/>
                <w:i w:val="0"/>
                <w:iCs w:val="0"/>
                <w:color w:val="auto"/>
                <w:sz w:val="24"/>
                <w:szCs w:val="24"/>
                <w:u w:val="none"/>
                <w:lang w:val="en-US" w:eastAsia="zh-CN" w:bidi="ar"/>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55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决策</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18</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517"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b w:val="0"/>
                <w:i w:val="0"/>
                <w:iCs w:val="0"/>
                <w:color w:val="auto"/>
                <w:sz w:val="24"/>
                <w:szCs w:val="24"/>
                <w:u w:val="none"/>
                <w:lang w:val="en-US" w:eastAsia="zh-CN" w:bidi="ar"/>
              </w:rPr>
              <w:t xml:space="preserve">15</w:t>
            </w:r>
            <w:r>
              <w:rPr>
                <w:rFonts w:hint="default" w:ascii="Times New Roman" w:hAnsi="Times New Roman" w:eastAsia="宋体" w:cs="Times New Roman"/>
                <w:i w:val="0"/>
                <w:iCs w:val="0"/>
                <w:color w:val="auto"/>
                <w:sz w:val="24"/>
                <w:szCs w:val="24"/>
                <w:u w:val="none"/>
                <w:lang w:val="en-US"/>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55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过程</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22</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517" w:type="pct"/>
            <w:vAlign w:val="center"/>
            <w:textDirection w:val="lrTb"/>
            <w:noWrap w:val="false"/>
          </w:tcPr>
          <w:p>
            <w:pPr>
              <w:keepNext w:val="false"/>
              <w:keepLines w:val="false"/>
              <w:pageBreakBefore w:val="false"/>
              <w:widowControl w:val="true"/>
              <w:suppressLineNumbers w:val="false"/>
              <w:pBdr/>
              <w:tabs>
                <w:tab w:val="left" w:leader="none" w:pos="578"/>
                <w:tab w:val="center" w:leader="none" w:pos="785"/>
              </w:tabs>
              <w:spacing w:line="240" w:lineRule="auto"/>
              <w:ind w:firstLine="0"/>
              <w:jc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b w:val="0"/>
                <w:i w:val="0"/>
                <w:iCs w:val="0"/>
                <w:color w:val="auto"/>
                <w:sz w:val="24"/>
                <w:szCs w:val="24"/>
                <w:u w:val="none"/>
                <w:lang w:val="en-US" w:eastAsia="zh-CN" w:bidi="ar"/>
              </w:rPr>
              <w:t xml:space="preserve">18.38</w:t>
            </w:r>
            <w:r>
              <w:rPr>
                <w:rFonts w:hint="default" w:ascii="Times New Roman" w:hAnsi="Times New Roman" w:eastAsia="宋体" w:cs="Times New Roman"/>
                <w:i w:val="0"/>
                <w:iCs w:val="0"/>
                <w:color w:val="auto"/>
                <w:sz w:val="24"/>
                <w:szCs w:val="24"/>
                <w:u w:val="none"/>
                <w:lang w:val="en-US"/>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55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产出</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30</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517"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b w:val="0"/>
                <w:i w:val="0"/>
                <w:iCs w:val="0"/>
                <w:color w:val="auto"/>
                <w:sz w:val="24"/>
                <w:szCs w:val="24"/>
                <w:u w:val="none"/>
                <w:lang w:val="en-US" w:eastAsia="zh-CN" w:bidi="ar"/>
              </w:rPr>
              <w:t xml:space="preserve">29</w:t>
            </w:r>
            <w:r>
              <w:rPr>
                <w:rFonts w:hint="default" w:ascii="Times New Roman" w:hAnsi="Times New Roman" w:eastAsia="宋体" w:cs="Times New Roman"/>
                <w:i w:val="0"/>
                <w:iCs w:val="0"/>
                <w:color w:val="auto"/>
                <w:sz w:val="24"/>
                <w:szCs w:val="24"/>
                <w:u w:val="none"/>
                <w:lang w:val="en-US"/>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55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效果</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b w:val="0"/>
                <w:i w:val="0"/>
                <w:iCs w:val="0"/>
                <w:color w:val="auto"/>
                <w:sz w:val="24"/>
                <w:szCs w:val="24"/>
                <w:u w:val="none"/>
                <w:lang w:val="en-US" w:eastAsia="zh-CN" w:bidi="ar"/>
              </w:rPr>
              <w:t xml:space="preserve">30</w:t>
            </w:r>
            <w:r>
              <w:rPr>
                <w:rFonts w:hint="default" w:ascii="Times New Roman" w:hAnsi="Times New Roman" w:eastAsia="宋体" w:cs="Times New Roman"/>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517"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b w:val="0"/>
                <w:i w:val="0"/>
                <w:iCs w:val="0"/>
                <w:color w:val="auto"/>
                <w:sz w:val="24"/>
                <w:szCs w:val="24"/>
                <w:u w:val="none"/>
                <w:lang w:val="en-US" w:eastAsia="zh-CN" w:bidi="ar"/>
              </w:rPr>
              <w:t xml:space="preserve">30</w:t>
            </w:r>
            <w:r>
              <w:rPr>
                <w:rFonts w:hint="default" w:ascii="Times New Roman" w:hAnsi="Times New Roman" w:eastAsia="宋体" w:cs="Times New Roman"/>
                <w:i w:val="0"/>
                <w:iCs w:val="0"/>
                <w:color w:val="auto"/>
                <w:sz w:val="24"/>
                <w:szCs w:val="24"/>
                <w:u w:val="none"/>
                <w:lang w:val="en-US"/>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55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sz w:val="24"/>
                <w:szCs w:val="24"/>
                <w:u w:val="none"/>
                <w:lang w:val="en-US" w:eastAsia="zh-CN" w:bidi="ar"/>
              </w:rPr>
              <w:t xml:space="preserve">总体总分</w:t>
            </w:r>
            <w:r>
              <w:rPr>
                <w:rFonts w:hint="default" w:ascii="Times New Roman" w:hAnsi="Times New Roman" w:eastAsia="宋体" w:cs="Times New Roman"/>
                <w:b/>
                <w:bCs/>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922"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sz w:val="24"/>
                <w:szCs w:val="24"/>
                <w:u w:val="none"/>
                <w:lang w:val="en-US" w:eastAsia="zh-CN" w:bidi="ar"/>
              </w:rPr>
              <w:t xml:space="preserve">100</w:t>
            </w:r>
            <w:r>
              <w:rPr>
                <w:rFonts w:hint="default" w:ascii="Times New Roman" w:hAnsi="Times New Roman" w:eastAsia="宋体" w:cs="Times New Roman"/>
                <w:b/>
                <w:bCs/>
                <w:i w:val="0"/>
                <w:iCs w:val="0"/>
                <w:color w:val="auto"/>
                <w:sz w:val="24"/>
                <w:szCs w:val="24"/>
                <w:u w:val="none"/>
              </w:rPr>
            </w:r>
          </w:p>
        </w:tc>
        <w:tc>
          <w:tcPr>
            <w:tcBorders>
              <w:top w:val="single" w:color="000000" w:sz="4" w:space="0"/>
              <w:left w:val="single" w:color="000000" w:sz="4" w:space="0"/>
              <w:bottom w:val="single" w:color="000000" w:sz="4" w:space="0"/>
              <w:right w:val="single" w:color="000000" w:sz="4" w:space="0"/>
            </w:tcBorders>
            <w:tcW w:w="1517"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b/>
                <w:bCs/>
                <w:i w:val="0"/>
                <w:iCs w:val="0"/>
                <w:color w:val="auto"/>
                <w:sz w:val="24"/>
                <w:szCs w:val="24"/>
                <w:u w:val="none"/>
                <w:lang w:val="en-US"/>
              </w:rPr>
            </w:pPr>
            <w:r>
              <w:rPr>
                <w:rFonts w:hint="default" w:ascii="Times New Roman" w:hAnsi="Times New Roman" w:eastAsia="宋体" w:cs="Times New Roman"/>
                <w:b/>
                <w:bCs/>
                <w:i w:val="0"/>
                <w:iCs w:val="0"/>
                <w:color w:val="auto"/>
                <w:sz w:val="24"/>
                <w:szCs w:val="24"/>
                <w:u w:val="none"/>
                <w:lang w:val="en-US" w:eastAsia="zh-CN" w:bidi="ar"/>
              </w:rPr>
              <w:t xml:space="preserve">92.38</w:t>
            </w:r>
            <w:r>
              <w:rPr>
                <w:rFonts w:hint="default" w:ascii="Times New Roman" w:hAnsi="Times New Roman" w:eastAsia="宋体" w:cs="Times New Roman"/>
                <w:b/>
                <w:bCs/>
                <w:i w:val="0"/>
                <w:iCs w:val="0"/>
                <w:color w:val="auto"/>
                <w:sz w:val="24"/>
                <w:szCs w:val="24"/>
                <w:u w:val="none"/>
                <w:lang w:val="en-US"/>
              </w:rPr>
            </w:r>
          </w:p>
        </w:tc>
      </w:tr>
    </w:tbl>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70" w:name="_Toc29769"/>
      <w:r/>
      <w:bookmarkStart w:id="71" w:name="_Toc27248"/>
      <w:r/>
      <w:bookmarkStart w:id="72" w:name="_Toc2830"/>
      <w:r/>
      <w:bookmarkStart w:id="73" w:name="_Toc77278772"/>
      <w:r>
        <w:rPr>
          <w:rFonts w:hint="default" w:ascii="Times New Roman" w:hAnsi="Times New Roman" w:eastAsia="楷体_GB2312" w:cs="Times New Roman"/>
          <w:color w:val="auto"/>
          <w:sz w:val="32"/>
          <w:szCs w:val="32"/>
          <w:lang w:val="en-US" w:eastAsia="zh-CN"/>
        </w:rPr>
        <w:t xml:space="preserve">1.2</w:t>
      </w:r>
      <w:bookmarkEnd w:id="70"/>
      <w:r>
        <w:rPr>
          <w:rFonts w:hint="default" w:ascii="Times New Roman" w:hAnsi="Times New Roman" w:eastAsia="楷体_GB2312" w:cs="Times New Roman"/>
          <w:color w:val="auto"/>
          <w:sz w:val="32"/>
          <w:szCs w:val="32"/>
          <w:lang w:val="en-US" w:eastAsia="zh-CN"/>
        </w:rPr>
        <w:t xml:space="preserve">绩效目标完成情况分析</w:t>
      </w:r>
      <w:bookmarkEnd w:id="71"/>
      <w:r/>
      <w:bookmarkEnd w:id="72"/>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74" w:name="_Toc5456"/>
      <w:r>
        <w:rPr>
          <w:rFonts w:hint="default" w:ascii="Times New Roman" w:hAnsi="Times New Roman" w:eastAsia="楷体_GB2312" w:cs="Times New Roman"/>
          <w:color w:val="auto"/>
          <w:sz w:val="32"/>
          <w:szCs w:val="32"/>
          <w:lang w:val="en-US" w:eastAsia="zh-CN"/>
        </w:rPr>
        <w:t xml:space="preserve">1.2.1</w:t>
      </w:r>
      <w:r>
        <w:rPr>
          <w:rFonts w:hint="default" w:ascii="Times New Roman" w:hAnsi="Times New Roman" w:eastAsia="楷体_GB2312" w:cs="Times New Roman"/>
          <w:color w:val="auto"/>
          <w:sz w:val="32"/>
          <w:szCs w:val="32"/>
          <w:lang w:val="en-US" w:eastAsia="zh-Hans"/>
        </w:rPr>
        <w:t xml:space="preserve">决策</w:t>
      </w:r>
      <w:bookmarkEnd w:id="74"/>
      <w:r/>
      <w:r>
        <w:rPr>
          <w:rFonts w:hint="default" w:ascii="Times New Roman" w:hAnsi="Times New Roman" w:eastAsia="楷体_GB2312" w:cs="Times New Roman"/>
          <w:color w:val="auto"/>
          <w:sz w:val="32"/>
          <w:szCs w:val="32"/>
          <w:lang w:val="en-US" w:eastAsia="zh-Hans"/>
        </w:rPr>
      </w:r>
    </w:p>
    <w:p>
      <w:pPr>
        <w:pageBreakBefore w:val="false"/>
        <w:pBdr/>
        <w:spacing w:line="620" w:lineRule="exact"/>
        <w:ind w:firstLine="640"/>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val="en-US" w:eastAsia="zh-CN"/>
        </w:rPr>
        <w:t xml:space="preserve">决策指标权重</w:t>
      </w:r>
      <w:r>
        <w:rPr>
          <w:rFonts w:hint="default" w:ascii="Times New Roman" w:hAnsi="Times New Roman" w:eastAsia="仿宋_GB2312" w:cs="Times New Roman"/>
          <w:color w:val="auto"/>
          <w:sz w:val="32"/>
          <w:szCs w:val="32"/>
          <w:lang w:eastAsia="zh-CN"/>
        </w:rPr>
        <w:t xml:space="preserve">1</w:t>
      </w:r>
      <w:r>
        <w:rPr>
          <w:rFonts w:hint="default" w:ascii="Times New Roman" w:hAnsi="Times New Roman" w:eastAsia="仿宋_GB2312" w:cs="Times New Roman"/>
          <w:color w:val="auto"/>
          <w:sz w:val="32"/>
          <w:szCs w:val="32"/>
          <w:lang w:val="en-US" w:eastAsia="zh-CN"/>
        </w:rPr>
        <w:t xml:space="preserve">8分，评价得分15分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Hans"/>
        </w:rPr>
        <w:t xml:space="preserve">扣</w:t>
      </w:r>
      <w:r>
        <w:rPr>
          <w:rFonts w:hint="default" w:ascii="Times New Roman" w:hAnsi="Times New Roman" w:eastAsia="仿宋_GB2312" w:cs="Times New Roman"/>
          <w:color w:val="auto"/>
          <w:sz w:val="32"/>
          <w:szCs w:val="32"/>
          <w:lang w:val="en-US" w:eastAsia="zh-CN"/>
        </w:rPr>
        <w:t xml:space="preserve">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Hans"/>
        </w:rPr>
        <w:t xml:space="preserve">其中</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eastAsia="zh-Hans"/>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绩效目标合理性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w:t>
      </w:r>
      <w:r>
        <w:rPr>
          <w:rFonts w:hint="default" w:ascii="Times New Roman" w:hAnsi="Times New Roman" w:eastAsia="仿宋_GB2312" w:cs="Times New Roman"/>
          <w:color w:val="auto"/>
          <w:sz w:val="32"/>
          <w:szCs w:val="32"/>
          <w:lang w:val="en-US" w:eastAsia="zh-Hans"/>
        </w:rPr>
        <w:t xml:space="preserve">扣</w:t>
      </w:r>
      <w:r>
        <w:rPr>
          <w:rFonts w:hint="default" w:ascii="Times New Roman" w:hAnsi="Times New Roman" w:eastAsia="仿宋_GB2312" w:cs="Times New Roman"/>
          <w:color w:val="auto"/>
          <w:sz w:val="32"/>
          <w:szCs w:val="32"/>
          <w:lang w:val="en-US" w:eastAsia="zh-CN"/>
        </w:rPr>
        <w:t xml:space="preserve">1</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eastAsia="zh-Hans"/>
        </w:rPr>
        <w:t xml:space="preserve">。扣分原因：</w:t>
      </w:r>
      <w:r>
        <w:rPr>
          <w:rFonts w:hint="default" w:ascii="Times New Roman" w:hAnsi="Times New Roman" w:eastAsia="仿宋_GB2312" w:cs="Times New Roman"/>
          <w:color w:val="auto"/>
          <w:sz w:val="32"/>
          <w:szCs w:val="32"/>
          <w:lang w:val="en-US" w:eastAsia="zh-CN"/>
        </w:rPr>
        <w:t xml:space="preserve">该项目资金分解到单位多个一级项目中，绩效目标也分散至各项目，未单独设置绩效目标。</w:t>
      </w:r>
      <w:r>
        <w:rPr>
          <w:rFonts w:hint="default" w:ascii="Times New Roman" w:hAnsi="Times New Roman" w:eastAsia="仿宋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绩效指标明确性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w:t>
      </w:r>
      <w:r>
        <w:rPr>
          <w:rFonts w:hint="default" w:ascii="Times New Roman" w:hAnsi="Times New Roman" w:eastAsia="仿宋_GB2312" w:cs="Times New Roman"/>
          <w:color w:val="auto"/>
          <w:sz w:val="32"/>
          <w:szCs w:val="32"/>
          <w:lang w:val="en-US" w:eastAsia="zh-Hans"/>
        </w:rPr>
        <w:t xml:space="preserve">扣</w:t>
      </w:r>
      <w:r>
        <w:rPr>
          <w:rFonts w:hint="default" w:ascii="Times New Roman" w:hAnsi="Times New Roman" w:eastAsia="仿宋_GB2312" w:cs="Times New Roman"/>
          <w:color w:val="auto"/>
          <w:sz w:val="32"/>
          <w:szCs w:val="32"/>
          <w:lang w:val="en-US" w:eastAsia="zh-CN"/>
        </w:rPr>
        <w:t xml:space="preserve">1</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eastAsia="zh-Hans"/>
        </w:rPr>
        <w:t xml:space="preserve">。扣分原因：</w:t>
      </w:r>
      <w:r>
        <w:rPr>
          <w:rFonts w:hint="default" w:ascii="Times New Roman" w:hAnsi="Times New Roman" w:eastAsia="仿宋_GB2312" w:cs="Times New Roman"/>
          <w:color w:val="auto"/>
          <w:sz w:val="32"/>
          <w:szCs w:val="32"/>
          <w:lang w:val="en-US" w:eastAsia="zh-CN"/>
        </w:rPr>
        <w:t xml:space="preserve">该项目资金分解到单位多个一级项目中，绩效目标也分散至各项目，未单独设置绩效目标。</w:t>
      </w:r>
      <w:r>
        <w:rPr>
          <w:rFonts w:hint="default" w:ascii="Times New Roman" w:hAnsi="Times New Roman" w:eastAsia="仿宋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预算编制科学性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。评价得分2分，扣1分。扣分原因：该项目资金分解到项目单位多个一级项目中，项目预算分散编制至多个一级项目，绩效目标分散，不便于资金绩效管理。</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75" w:name="_Toc12101"/>
      <w:r>
        <w:rPr>
          <w:rFonts w:hint="default" w:ascii="Times New Roman" w:hAnsi="Times New Roman" w:eastAsia="楷体_GB2312" w:cs="Times New Roman"/>
          <w:color w:val="auto"/>
          <w:sz w:val="32"/>
          <w:szCs w:val="32"/>
          <w:lang w:val="en-US" w:eastAsia="zh-CN"/>
        </w:rPr>
        <w:t xml:space="preserve">1.2.2过程</w:t>
      </w:r>
      <w:bookmarkEnd w:id="75"/>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过程指标权重22分，评价得分18.38分，扣3.62分。其中：</w:t>
      </w:r>
      <w:r>
        <w:rPr>
          <w:rFonts w:hint="default" w:ascii="Times New Roman" w:hAnsi="Times New Roman" w:eastAsia="仿宋_GB2312" w:cs="Times New Roman"/>
          <w:color w:val="auto"/>
          <w:sz w:val="32"/>
          <w:szCs w:val="32"/>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资金到位率</w:t>
      </w:r>
      <w:r>
        <w:rPr>
          <w:rFonts w:hint="default" w:ascii="Times New Roman" w:hAnsi="Times New Roman" w:eastAsia="仿宋_GB2312" w:cs="Times New Roman"/>
          <w:color w:val="auto"/>
          <w:sz w:val="32"/>
          <w:szCs w:val="32"/>
          <w:lang w:val="en-US" w:eastAsia="zh-CN"/>
        </w:rPr>
        <w:t xml:space="preserve">指标权重2</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，评价得分1.35分，扣0.65分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扣分原因：资金预算数725.44万元，当年实际下达资金488.65万元。</w:t>
      </w:r>
      <w:r>
        <w:rPr>
          <w:rFonts w:hint="default" w:ascii="Times New Roman" w:hAnsi="Times New Roman" w:eastAsia="仿宋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预算执行率</w:t>
      </w:r>
      <w:r>
        <w:rPr>
          <w:rFonts w:hint="default" w:ascii="Times New Roman" w:hAnsi="Times New Roman" w:eastAsia="仿宋_GB2312" w:cs="Times New Roman"/>
          <w:color w:val="auto"/>
          <w:sz w:val="32"/>
          <w:szCs w:val="32"/>
          <w:lang w:val="en-US" w:eastAsia="zh-CN"/>
        </w:rPr>
        <w:t xml:space="preserve">指标权重6</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，评价得分5.03分，扣0.97分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扣分原因：资金实际下达488.65万元，当年执行数409.26万元，预算执行率84%。</w:t>
      </w:r>
      <w:r>
        <w:rPr>
          <w:rFonts w:hint="default" w:ascii="Times New Roman" w:hAnsi="Times New Roman" w:eastAsia="仿宋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管理制度健全性</w:t>
      </w:r>
      <w:r>
        <w:rPr>
          <w:rFonts w:hint="default" w:ascii="Times New Roman" w:hAnsi="Times New Roman" w:eastAsia="仿宋_GB2312" w:cs="Times New Roman"/>
          <w:color w:val="auto"/>
          <w:sz w:val="32"/>
          <w:szCs w:val="32"/>
          <w:lang w:val="en-US" w:eastAsia="zh-CN"/>
        </w:rPr>
        <w:t xml:space="preserve">指标权重4</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，评价得分3分，扣1分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扣分原因：项目未结合本地实际，制定当地项目实施细则。</w:t>
      </w:r>
      <w:r>
        <w:rPr>
          <w:rFonts w:hint="default" w:ascii="Times New Roman" w:hAnsi="Times New Roman" w:eastAsia="仿宋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b/>
          <w:bCs/>
          <w:color w:val="auto"/>
          <w:sz w:val="32"/>
          <w:szCs w:val="32"/>
          <w:lang w:val="en-US" w:eastAsia="zh-Hans"/>
        </w:rPr>
        <w:t xml:space="preserve">制度执行有效性</w:t>
      </w:r>
      <w:r>
        <w:rPr>
          <w:rFonts w:hint="default" w:ascii="Times New Roman" w:hAnsi="Times New Roman" w:eastAsia="仿宋_GB2312" w:cs="Times New Roman"/>
          <w:color w:val="auto"/>
          <w:sz w:val="32"/>
          <w:szCs w:val="32"/>
          <w:lang w:val="en-US" w:eastAsia="zh-CN"/>
        </w:rPr>
        <w:t xml:space="preserve">指标权重4分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评价</w:t>
      </w:r>
      <w:r>
        <w:rPr>
          <w:rFonts w:hint="default" w:ascii="Times New Roman" w:hAnsi="Times New Roman" w:eastAsia="仿宋_GB2312" w:cs="Times New Roman"/>
          <w:color w:val="auto"/>
          <w:sz w:val="32"/>
          <w:szCs w:val="32"/>
          <w:lang w:val="en-US" w:eastAsia="zh-Hans"/>
        </w:rPr>
        <w:t xml:space="preserve">得分</w:t>
      </w:r>
      <w:r>
        <w:rPr>
          <w:rFonts w:hint="default" w:ascii="Times New Roman" w:hAnsi="Times New Roman" w:eastAsia="仿宋_GB2312" w:cs="Times New Roman"/>
          <w:color w:val="auto"/>
          <w:sz w:val="32"/>
          <w:szCs w:val="32"/>
          <w:lang w:val="en-US" w:eastAsia="zh-CN"/>
        </w:rPr>
        <w:t xml:space="preserve">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，扣1分</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扣分原因：项目绩效自评分散在项目单位各个项目中，未就该项目单独进行绩效自评。</w:t>
      </w:r>
      <w:r>
        <w:rPr>
          <w:rFonts w:hint="default" w:ascii="Times New Roman" w:hAnsi="Times New Roman" w:eastAsia="仿宋_GB2312" w:cs="Times New Roman"/>
          <w:color w:val="auto"/>
          <w:sz w:val="32"/>
          <w:szCs w:val="32"/>
          <w:lang w:val="en-US"/>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76" w:name="_Toc924"/>
      <w:r>
        <w:rPr>
          <w:rFonts w:hint="default" w:ascii="Times New Roman" w:hAnsi="Times New Roman" w:eastAsia="楷体_GB2312" w:cs="Times New Roman"/>
          <w:color w:val="auto"/>
          <w:sz w:val="32"/>
          <w:szCs w:val="32"/>
          <w:lang w:val="en-US" w:eastAsia="zh-CN"/>
        </w:rPr>
        <w:t xml:space="preserve">1.2.3产出</w:t>
      </w:r>
      <w:bookmarkEnd w:id="76"/>
      <w:r/>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产出指标权重30分，评价得分29分。</w:t>
      </w:r>
      <w:r>
        <w:rPr>
          <w:rFonts w:hint="default" w:ascii="Times New Roman" w:hAnsi="Times New Roman" w:eastAsia="仿宋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乡镇（街道）范围具备综合功能的养老服务机构覆盖率</w:t>
      </w:r>
      <w:r>
        <w:rPr>
          <w:rFonts w:hint="default" w:ascii="Times New Roman" w:hAnsi="Times New Roman" w:eastAsia="仿宋_GB2312" w:cs="Times New Roman"/>
          <w:color w:val="auto"/>
          <w:sz w:val="32"/>
          <w:szCs w:val="32"/>
          <w:lang w:val="en-US" w:eastAsia="zh-CN"/>
        </w:rPr>
        <w:t xml:space="preserve">指标权重3分，评价得分2分，扣1分。扣分原因：全市具备综合功能的养老服务机构覆盖率为28.3%，低于目标值。</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77" w:name="_Toc2600"/>
      <w:r>
        <w:rPr>
          <w:rFonts w:hint="default" w:ascii="Times New Roman" w:hAnsi="Times New Roman" w:eastAsia="楷体_GB2312" w:cs="Times New Roman"/>
          <w:color w:val="auto"/>
          <w:sz w:val="32"/>
          <w:szCs w:val="32"/>
          <w:lang w:val="en-US" w:eastAsia="zh-CN"/>
        </w:rPr>
        <w:t xml:space="preserve">1.2.4</w:t>
      </w:r>
      <w:r>
        <w:rPr>
          <w:rFonts w:hint="default" w:ascii="Times New Roman" w:hAnsi="Times New Roman" w:eastAsia="楷体_GB2312" w:cs="Times New Roman"/>
          <w:color w:val="auto"/>
          <w:sz w:val="32"/>
          <w:szCs w:val="32"/>
          <w:lang w:val="en-US" w:eastAsia="zh-Hans"/>
        </w:rPr>
        <w:t xml:space="preserve">效</w:t>
      </w:r>
      <w:r>
        <w:rPr>
          <w:rFonts w:hint="default" w:ascii="Times New Roman" w:hAnsi="Times New Roman" w:eastAsia="楷体_GB2312" w:cs="Times New Roman"/>
          <w:color w:val="auto"/>
          <w:sz w:val="32"/>
          <w:szCs w:val="32"/>
          <w:lang w:val="en-US" w:eastAsia="zh-CN"/>
        </w:rPr>
        <w:t xml:space="preserve">果</w:t>
      </w:r>
      <w:bookmarkEnd w:id="77"/>
      <w:r/>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Hans"/>
        </w:rPr>
        <w:t xml:space="preserve">效</w:t>
      </w:r>
      <w:r>
        <w:rPr>
          <w:rFonts w:hint="default" w:ascii="Times New Roman" w:hAnsi="Times New Roman" w:eastAsia="仿宋_GB2312" w:cs="Times New Roman"/>
          <w:color w:val="auto"/>
          <w:sz w:val="32"/>
          <w:szCs w:val="32"/>
          <w:lang w:val="en-US" w:eastAsia="zh-CN"/>
        </w:rPr>
        <w:t xml:space="preserve">果指标权重30分，评价得分30分。</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78" w:name="_Toc27966"/>
      <w:r/>
      <w:bookmarkStart w:id="79" w:name="_Toc30586"/>
      <w:r/>
      <w:bookmarkStart w:id="80" w:name="_Toc31768"/>
      <w:r>
        <w:rPr>
          <w:rFonts w:hint="default" w:ascii="Times New Roman" w:hAnsi="Times New Roman" w:eastAsia="楷体_GB2312" w:cs="Times New Roman"/>
          <w:color w:val="auto"/>
          <w:sz w:val="32"/>
          <w:szCs w:val="32"/>
          <w:lang w:val="en-US" w:eastAsia="zh-CN"/>
        </w:rPr>
        <w:t xml:space="preserve">1.3存在的问题</w:t>
      </w:r>
      <w:r>
        <w:rPr>
          <w:rFonts w:hint="default" w:ascii="Times New Roman" w:hAnsi="Times New Roman" w:eastAsia="楷体_GB2312" w:cs="Times New Roman"/>
          <w:color w:val="auto"/>
          <w:sz w:val="32"/>
          <w:szCs w:val="32"/>
          <w:lang w:val="en-US" w:eastAsia="zh-Hans"/>
        </w:rPr>
        <w:t xml:space="preserve">和原因</w:t>
      </w:r>
      <w:bookmarkEnd w:id="78"/>
      <w:r/>
      <w:bookmarkEnd w:id="79"/>
      <w:r/>
      <w:bookmarkEnd w:id="80"/>
      <w:r/>
      <w:r>
        <w:rPr>
          <w:rFonts w:hint="default" w:ascii="Times New Roman" w:hAnsi="Times New Roman" w:eastAsia="楷体_GB2312" w:cs="Times New Roman"/>
          <w:color w:val="auto"/>
          <w:sz w:val="32"/>
          <w:szCs w:val="32"/>
          <w:lang w:val="en-US" w:eastAsia="zh-Hans"/>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81" w:name="_Toc7034"/>
      <w:r/>
      <w:bookmarkStart w:id="82" w:name="_Toc77278775"/>
      <w:r>
        <w:rPr>
          <w:rFonts w:hint="default" w:ascii="Times New Roman" w:hAnsi="Times New Roman" w:eastAsia="楷体_GB2312" w:cs="Times New Roman"/>
          <w:color w:val="auto"/>
          <w:sz w:val="32"/>
          <w:szCs w:val="32"/>
          <w:lang w:val="en-US" w:eastAsia="zh-CN"/>
        </w:rPr>
        <w:t xml:space="preserve">1.3.1项目资金预算执行率不高</w:t>
      </w:r>
      <w:bookmarkEnd w:id="81"/>
      <w:r/>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经统计，项目资金当年实际下达488.65万元，而当年执行数409.26万元，预算执行率84%，执行率较低，造成部分资金闲置，未产生效益。</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83" w:name="_Toc5949"/>
      <w:r/>
      <w:bookmarkStart w:id="84" w:name="_Toc14271"/>
      <w:r>
        <w:rPr>
          <w:rFonts w:hint="default" w:ascii="Times New Roman" w:hAnsi="Times New Roman" w:eastAsia="楷体_GB2312" w:cs="Times New Roman"/>
          <w:color w:val="auto"/>
          <w:sz w:val="32"/>
          <w:szCs w:val="32"/>
          <w:lang w:val="en-US" w:eastAsia="zh-CN"/>
        </w:rPr>
        <w:t xml:space="preserve">1</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2项目管理机制有待完善</w:t>
      </w:r>
      <w:bookmarkEnd w:id="83"/>
      <w:r/>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一是</w:t>
      </w:r>
      <w:r>
        <w:rPr>
          <w:rFonts w:hint="default" w:ascii="Times New Roman" w:hAnsi="Times New Roman" w:eastAsia="仿宋_GB2312" w:cs="Times New Roman"/>
          <w:color w:val="auto"/>
          <w:sz w:val="32"/>
          <w:szCs w:val="32"/>
          <w:lang w:val="en-US" w:eastAsia="zh-CN"/>
        </w:rPr>
        <w:t xml:space="preserve">项目资金预算管理机制有待优化，项目单位未单独设置一级项目进行专项管理，每年的预算编制将项目资金控制数分解到各业务科室的工作经费项目中，与科室其他工作经费混编，不便于专项资金管理及数据统计。由于未单独设置一级项目管理，绩效目标也分散至各个科室的工作经费项目中，后续专项资金的预算绩效管理工作开展不便。</w:t>
      </w:r>
      <w:r>
        <w:rPr>
          <w:rFonts w:hint="default" w:ascii="Times New Roman" w:hAnsi="Times New Roman" w:eastAsia="仿宋_GB2312" w:cs="Times New Roman"/>
          <w:b/>
          <w:bCs/>
          <w:color w:val="auto"/>
          <w:sz w:val="32"/>
          <w:szCs w:val="32"/>
          <w:lang w:val="en-US" w:eastAsia="zh-CN"/>
        </w:rPr>
        <w:t xml:space="preserve">二是</w:t>
      </w:r>
      <w:r>
        <w:rPr>
          <w:rFonts w:hint="default" w:ascii="Times New Roman" w:hAnsi="Times New Roman" w:eastAsia="仿宋_GB2312" w:cs="Times New Roman"/>
          <w:color w:val="auto"/>
          <w:sz w:val="32"/>
          <w:szCs w:val="32"/>
          <w:lang w:val="en-US" w:eastAsia="zh-CN"/>
        </w:rPr>
        <w:t xml:space="preserve">项目按照省级管理办法（鄂财社发〔2022〕12号）进行管理，未结合本地实际，制定当地项目资金实施细则。</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85" w:name="_Toc10693"/>
      <w:r>
        <w:rPr>
          <w:rFonts w:hint="default" w:ascii="Times New Roman" w:hAnsi="Times New Roman" w:eastAsia="楷体_GB2312" w:cs="Times New Roman"/>
          <w:color w:val="auto"/>
          <w:sz w:val="32"/>
          <w:szCs w:val="32"/>
          <w:lang w:val="en-US" w:eastAsia="zh-CN"/>
        </w:rPr>
        <w:t xml:space="preserve">1.4</w:t>
      </w:r>
      <w:bookmarkEnd w:id="82"/>
      <w:r>
        <w:rPr>
          <w:rFonts w:hint="default" w:ascii="Times New Roman" w:hAnsi="Times New Roman" w:eastAsia="楷体_GB2312" w:cs="Times New Roman"/>
          <w:color w:val="auto"/>
          <w:sz w:val="32"/>
          <w:szCs w:val="32"/>
          <w:lang w:val="en-US" w:eastAsia="zh-CN"/>
        </w:rPr>
        <w:t xml:space="preserve">结果应用建议</w:t>
      </w:r>
      <w:bookmarkEnd w:id="84"/>
      <w:r/>
      <w:bookmarkEnd w:id="85"/>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86" w:name="_Toc21796"/>
      <w:r>
        <w:rPr>
          <w:rFonts w:hint="default" w:ascii="Times New Roman" w:hAnsi="Times New Roman" w:eastAsia="楷体_GB2312" w:cs="Times New Roman"/>
          <w:color w:val="auto"/>
          <w:sz w:val="32"/>
          <w:szCs w:val="32"/>
          <w:lang w:val="en-US" w:eastAsia="zh-CN"/>
        </w:rPr>
        <w:t xml:space="preserve">1</w:t>
      </w:r>
      <w:r>
        <w:rPr>
          <w:rFonts w:hint="default" w:ascii="Times New Roman" w:hAnsi="Times New Roman" w:eastAsia="楷体_GB2312" w:cs="Times New Roman"/>
          <w:color w:val="auto"/>
          <w:sz w:val="32"/>
          <w:szCs w:val="32"/>
          <w:lang w:val="en-US" w:eastAsia="zh-Hans"/>
        </w:rPr>
        <w:t xml:space="preserve">.</w:t>
      </w:r>
      <w:r>
        <w:rPr>
          <w:rFonts w:hint="default" w:ascii="Times New Roman" w:hAnsi="Times New Roman" w:eastAsia="楷体_GB2312" w:cs="Times New Roman"/>
          <w:color w:val="auto"/>
          <w:sz w:val="32"/>
          <w:szCs w:val="32"/>
          <w:lang w:val="en-US" w:eastAsia="zh-CN"/>
        </w:rPr>
        <w:t xml:space="preserve">4</w:t>
      </w:r>
      <w:r>
        <w:rPr>
          <w:rFonts w:hint="default" w:ascii="Times New Roman" w:hAnsi="Times New Roman" w:eastAsia="楷体_GB2312" w:cs="Times New Roman"/>
          <w:color w:val="auto"/>
          <w:sz w:val="32"/>
          <w:szCs w:val="32"/>
          <w:lang w:val="en-US" w:eastAsia="zh-Hans"/>
        </w:rPr>
        <w:t xml:space="preserve">.</w:t>
      </w:r>
      <w:r>
        <w:rPr>
          <w:rFonts w:hint="default" w:ascii="Times New Roman" w:hAnsi="Times New Roman" w:eastAsia="楷体_GB2312" w:cs="Times New Roman"/>
          <w:color w:val="auto"/>
          <w:sz w:val="32"/>
          <w:szCs w:val="32"/>
          <w:lang w:val="en-US" w:eastAsia="zh-CN"/>
        </w:rPr>
        <w:t xml:space="preserve">1加强预算执行监控，提高预算执行率</w:t>
      </w:r>
      <w:bookmarkEnd w:id="86"/>
      <w:r/>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建议财务部门在下半年加强对预算执行进度的监控，定期对各科室、单位项目支出的预算执行情况进行通报，并将通报结果向党组汇报，敦促各科室、单位高度重视预算执行工作。结合当年预算执行情况，在下年度预算编制时，压减执行率较低科室、单位项目支出控制数。</w:t>
      </w:r>
      <w:r>
        <w:rPr>
          <w:rFonts w:hint="default" w:ascii="Times New Roman" w:hAnsi="Times New Roman" w:eastAsia="仿宋_GB2312" w:cs="Times New Roman"/>
          <w:color w:val="auto"/>
          <w:sz w:val="32"/>
          <w:szCs w:val="32"/>
          <w:lang w:val="en-US" w:eastAsia="zh-CN"/>
        </w:rPr>
      </w:r>
    </w:p>
    <w:p>
      <w:pPr>
        <w:pageBreakBefore w:val="false"/>
        <w:pBdr/>
        <w:spacing w:line="62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加强对未完成项目的督促实施。建议由相关责任科室、单位明确专人负责，财务部门定期督促，尽快完成项目任务目标。对个别难以执行的项目，及时清理并调整预算，有效提高预算执行进度。</w:t>
      </w:r>
      <w:bookmarkEnd w:id="73"/>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87" w:name="_Toc3277"/>
      <w:r/>
      <w:bookmarkStart w:id="88" w:name="_Toc12832"/>
      <w:r/>
      <w:bookmarkStart w:id="89" w:name="_Toc37599718"/>
      <w:r/>
      <w:bookmarkStart w:id="90" w:name="_Toc800683779"/>
      <w:r/>
      <w:bookmarkStart w:id="91" w:name="_Toc1090782548"/>
      <w:r/>
      <w:bookmarkStart w:id="92" w:name="_Toc1245132546"/>
      <w:r/>
      <w:bookmarkStart w:id="93" w:name="_Toc21098"/>
      <w:r/>
      <w:bookmarkStart w:id="94" w:name="_Toc1655730316"/>
      <w:r/>
      <w:bookmarkStart w:id="95" w:name="_Toc2124082199"/>
      <w:r>
        <w:rPr>
          <w:rFonts w:hint="default" w:ascii="Times New Roman" w:hAnsi="Times New Roman" w:eastAsia="楷体_GB2312" w:cs="Times New Roman"/>
          <w:color w:val="auto"/>
          <w:sz w:val="32"/>
          <w:szCs w:val="32"/>
          <w:lang w:val="en-US" w:eastAsia="zh-CN"/>
        </w:rPr>
        <w:t xml:space="preserve">1</w:t>
      </w:r>
      <w:r>
        <w:rPr>
          <w:rFonts w:hint="default" w:ascii="Times New Roman" w:hAnsi="Times New Roman" w:eastAsia="楷体_GB2312" w:cs="Times New Roman"/>
          <w:color w:val="auto"/>
          <w:sz w:val="32"/>
          <w:szCs w:val="32"/>
          <w:lang w:val="en-US" w:eastAsia="zh-Hans"/>
        </w:rPr>
        <w:t xml:space="preserve">.</w:t>
      </w:r>
      <w:r>
        <w:rPr>
          <w:rFonts w:hint="default" w:ascii="Times New Roman" w:hAnsi="Times New Roman" w:eastAsia="楷体_GB2312" w:cs="Times New Roman"/>
          <w:color w:val="auto"/>
          <w:sz w:val="32"/>
          <w:szCs w:val="32"/>
          <w:lang w:val="en-US" w:eastAsia="zh-CN"/>
        </w:rPr>
        <w:t xml:space="preserve">4</w:t>
      </w:r>
      <w:r>
        <w:rPr>
          <w:rFonts w:hint="default" w:ascii="Times New Roman" w:hAnsi="Times New Roman" w:eastAsia="楷体_GB2312" w:cs="Times New Roman"/>
          <w:color w:val="auto"/>
          <w:sz w:val="32"/>
          <w:szCs w:val="32"/>
          <w:lang w:val="en-US" w:eastAsia="zh-Hans"/>
        </w:rPr>
        <w:t xml:space="preserve">.</w:t>
      </w:r>
      <w:r>
        <w:rPr>
          <w:rFonts w:hint="default" w:ascii="Times New Roman" w:hAnsi="Times New Roman" w:eastAsia="楷体_GB2312" w:cs="Times New Roman"/>
          <w:color w:val="auto"/>
          <w:sz w:val="32"/>
          <w:szCs w:val="32"/>
          <w:lang w:val="en-US" w:eastAsia="zh-CN"/>
        </w:rPr>
        <w:t xml:space="preserve">2完善项目管理机制</w:t>
      </w:r>
      <w:bookmarkEnd w:id="87"/>
      <w:r/>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3"/>
        <w:rPr>
          <w:rFonts w:hint="default" w:ascii="Times New Roman" w:hAnsi="Times New Roman" w:eastAsia="仿宋_GB2312" w:cs="Times New Roman"/>
          <w:color w:val="auto"/>
          <w:sz w:val="32"/>
          <w:szCs w:val="32"/>
          <w:highlight w:val="none"/>
          <w:lang w:val="en-US" w:eastAsia="zh-Hans"/>
        </w:rPr>
      </w:pPr>
      <w:r>
        <w:rPr>
          <w:rFonts w:hint="default" w:ascii="Times New Roman" w:hAnsi="Times New Roman" w:eastAsia="仿宋_GB2312" w:cs="Times New Roman"/>
          <w:b/>
          <w:bCs/>
          <w:color w:val="auto"/>
          <w:sz w:val="32"/>
          <w:szCs w:val="32"/>
          <w:lang w:val="en-US" w:eastAsia="zh-CN"/>
        </w:rPr>
        <w:t xml:space="preserve">一是</w:t>
      </w:r>
      <w:r>
        <w:rPr>
          <w:rFonts w:hint="default" w:ascii="Times New Roman" w:hAnsi="Times New Roman" w:eastAsia="仿宋_GB2312" w:cs="Times New Roman"/>
          <w:color w:val="auto"/>
          <w:sz w:val="32"/>
          <w:szCs w:val="32"/>
          <w:lang w:val="en-US" w:eastAsia="zh-CN"/>
        </w:rPr>
        <w:t xml:space="preserve">建议对福彩公益金项目专项管理，专账核算。在预算编制中单独设置一级项目，各科室在该项目中申报子项，项目与各科室的其他工作经费项目进行区分。对项目资金落实绩效目标设置、绩效自评、绩效监控等全过程预算绩效管理。</w:t>
      </w:r>
      <w:r>
        <w:rPr>
          <w:rFonts w:hint="default" w:ascii="Times New Roman" w:hAnsi="Times New Roman" w:eastAsia="仿宋_GB2312" w:cs="Times New Roman"/>
          <w:b/>
          <w:bCs/>
          <w:color w:val="auto"/>
          <w:sz w:val="32"/>
          <w:szCs w:val="32"/>
          <w:lang w:val="en-US" w:eastAsia="zh-CN"/>
        </w:rPr>
        <w:t xml:space="preserve">二是</w:t>
      </w:r>
      <w:r>
        <w:rPr>
          <w:rFonts w:hint="default" w:ascii="Times New Roman" w:hAnsi="Times New Roman" w:eastAsia="仿宋_GB2312" w:cs="Times New Roman"/>
          <w:color w:val="auto"/>
          <w:sz w:val="32"/>
          <w:szCs w:val="32"/>
          <w:lang w:val="en-US" w:eastAsia="zh-CN"/>
        </w:rPr>
        <w:t xml:space="preserve">建议项目单位结合省级资金管理办法及本地实际情况，制定当地项目资金实施细则。</w:t>
      </w:r>
      <w:r>
        <w:rPr>
          <w:rFonts w:hint="default" w:ascii="Times New Roman" w:hAnsi="Times New Roman" w:eastAsia="仿宋_GB2312" w:cs="Times New Roman"/>
          <w:color w:val="auto"/>
          <w:sz w:val="32"/>
          <w:szCs w:val="32"/>
          <w:highlight w:val="none"/>
          <w:lang w:val="en-US" w:eastAsia="zh-Hans"/>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96" w:name="_Toc20595"/>
      <w:r>
        <w:rPr>
          <w:rFonts w:hint="default" w:ascii="Times New Roman" w:hAnsi="Times New Roman" w:eastAsia="楷体_GB2312" w:cs="Times New Roman"/>
          <w:color w:val="auto"/>
          <w:sz w:val="32"/>
          <w:szCs w:val="32"/>
          <w:lang w:val="en-US" w:eastAsia="zh-Hans"/>
        </w:rPr>
        <w:t xml:space="preserve">2</w:t>
      </w:r>
      <w:bookmarkEnd w:id="88"/>
      <w:r>
        <w:rPr>
          <w:rFonts w:hint="default" w:ascii="Times New Roman" w:hAnsi="Times New Roman" w:eastAsia="楷体_GB2312" w:cs="Times New Roman"/>
          <w:color w:val="auto"/>
          <w:sz w:val="32"/>
          <w:szCs w:val="32"/>
          <w:lang w:val="en-US" w:eastAsia="zh-Hans"/>
        </w:rPr>
        <w:t xml:space="preserve">佐证材料</w:t>
      </w:r>
      <w:bookmarkEnd w:id="89"/>
      <w:r/>
      <w:bookmarkEnd w:id="90"/>
      <w:r/>
      <w:bookmarkEnd w:id="91"/>
      <w:r/>
      <w:bookmarkEnd w:id="92"/>
      <w:r/>
      <w:bookmarkEnd w:id="93"/>
      <w:r/>
      <w:bookmarkEnd w:id="96"/>
      <w:r/>
      <w:r>
        <w:rPr>
          <w:rFonts w:hint="default" w:ascii="Times New Roman" w:hAnsi="Times New Roman" w:eastAsia="楷体_GB2312" w:cs="Times New Roman"/>
          <w:color w:val="auto"/>
          <w:sz w:val="32"/>
          <w:szCs w:val="32"/>
          <w:lang w:val="en-US" w:eastAsia="zh-Hans"/>
        </w:rPr>
      </w:r>
    </w:p>
    <w:p>
      <w:pPr>
        <w:pageBreakBefore w:val="false"/>
        <w:pBdr/>
        <w:spacing w:line="620" w:lineRule="exact"/>
        <w:ind w:firstLine="640"/>
        <w:rPr>
          <w:rFonts w:hint="default" w:ascii="Times New Roman" w:hAnsi="Times New Roman" w:eastAsia="仿宋_GB2312" w:cs="Times New Roman"/>
          <w:color w:val="auto"/>
          <w:sz w:val="32"/>
          <w:szCs w:val="32"/>
        </w:rPr>
      </w:pPr>
      <w:r/>
      <w:bookmarkStart w:id="97" w:name="_Toc1861873444"/>
      <w:r/>
      <w:bookmarkStart w:id="98" w:name="_Toc578268208"/>
      <w:r/>
      <w:bookmarkStart w:id="99" w:name="_Toc959741551"/>
      <w:r/>
      <w:bookmarkStart w:id="100" w:name="_Toc1862044254"/>
      <w:r/>
      <w:bookmarkStart w:id="101" w:name="_Toc23977"/>
      <w:r>
        <w:rPr>
          <w:rFonts w:hint="default" w:ascii="Times New Roman" w:hAnsi="Times New Roman" w:eastAsia="仿宋_GB2312" w:cs="Times New Roman"/>
          <w:color w:val="auto"/>
          <w:sz w:val="32"/>
          <w:szCs w:val="32"/>
        </w:rPr>
        <w:t xml:space="preserve">为全面了解项目的实施情况和实施效果，同时为以后年度该项目的开展提供参考，</w:t>
      </w:r>
      <w:r>
        <w:rPr>
          <w:rFonts w:hint="default" w:ascii="Times New Roman" w:hAnsi="Times New Roman" w:eastAsia="仿宋_GB2312" w:cs="Times New Roman"/>
          <w:color w:val="auto"/>
          <w:sz w:val="32"/>
          <w:szCs w:val="32"/>
          <w:lang w:val="en-US" w:eastAsia="zh-CN"/>
        </w:rPr>
        <w:t xml:space="preserve">市</w:t>
      </w:r>
      <w:r>
        <w:rPr>
          <w:rFonts w:hint="default" w:ascii="Times New Roman" w:hAnsi="Times New Roman" w:eastAsia="仿宋_GB2312" w:cs="Times New Roman"/>
          <w:color w:val="auto"/>
          <w:sz w:val="32"/>
          <w:szCs w:val="32"/>
        </w:rPr>
        <w:t xml:space="preserve">财政局委托武汉中昌达会计师事务有限责任公司对项目开展绩效评价工作。评价项目组</w:t>
      </w:r>
      <w:r>
        <w:rPr>
          <w:rFonts w:hint="default" w:ascii="Times New Roman" w:hAnsi="Times New Roman" w:eastAsia="仿宋_GB2312" w:cs="Times New Roman"/>
          <w:color w:val="auto"/>
          <w:sz w:val="32"/>
          <w:szCs w:val="32"/>
          <w:lang w:val="en-US" w:eastAsia="zh-CN"/>
        </w:rPr>
        <w:t xml:space="preserve">按照</w:t>
      </w:r>
      <w:r>
        <w:rPr>
          <w:rFonts w:hint="default" w:ascii="Times New Roman" w:hAnsi="Times New Roman" w:eastAsia="仿宋_GB2312" w:cs="Times New Roman"/>
          <w:color w:val="auto"/>
          <w:sz w:val="32"/>
          <w:szCs w:val="32"/>
        </w:rPr>
        <w:t xml:space="preserve">《湖北省财政厅关于印发全面实施预算绩效管理系列制度的通知》</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鄂财绩发〔2020〕3号</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等文件的规定和要求，秉承第三方评价应遵循的独立、客观、公平、公正原则，实施了必要的评价程序，完成了</w:t>
      </w:r>
      <w:r>
        <w:rPr>
          <w:rFonts w:hint="default" w:ascii="Times New Roman" w:hAnsi="Times New Roman" w:eastAsia="仿宋_GB2312" w:cs="Times New Roman"/>
          <w:color w:val="auto"/>
          <w:sz w:val="32"/>
          <w:szCs w:val="32"/>
          <w:lang w:val="en-US" w:eastAsia="zh-CN"/>
        </w:rPr>
        <w:t xml:space="preserve">福彩公益金市县分成资金项目</w:t>
      </w:r>
      <w:r>
        <w:rPr>
          <w:rFonts w:hint="default" w:ascii="Times New Roman" w:hAnsi="Times New Roman" w:eastAsia="仿宋_GB2312" w:cs="Times New Roman"/>
          <w:color w:val="auto"/>
          <w:sz w:val="32"/>
          <w:szCs w:val="32"/>
        </w:rPr>
        <w:t xml:space="preserve">的绩效评价工作，并形成本绩效评价报告。</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102" w:name="_Toc18880"/>
      <w:r/>
      <w:bookmarkStart w:id="103" w:name="_Toc15824"/>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.1基本情况</w:t>
      </w:r>
      <w:bookmarkEnd w:id="97"/>
      <w:r/>
      <w:bookmarkEnd w:id="98"/>
      <w:r/>
      <w:bookmarkEnd w:id="99"/>
      <w:r/>
      <w:bookmarkEnd w:id="100"/>
      <w:r/>
      <w:bookmarkEnd w:id="102"/>
      <w:r/>
      <w:bookmarkEnd w:id="103"/>
      <w:r/>
      <w:r>
        <w:rPr>
          <w:rFonts w:hint="default" w:ascii="Times New Roman" w:hAnsi="Times New Roman" w:eastAsia="楷体_GB2312" w:cs="Times New Roman"/>
          <w:color w:val="auto"/>
          <w:sz w:val="32"/>
          <w:szCs w:val="32"/>
          <w:lang w:val="en-US" w:eastAsia="zh-Hans"/>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04" w:name="_Toc9277"/>
      <w:r/>
      <w:bookmarkStart w:id="105" w:name="_Toc1522752871"/>
      <w:r/>
      <w:bookmarkStart w:id="106" w:name="_Toc626575040"/>
      <w:r/>
      <w:bookmarkStart w:id="107" w:name="_Toc1590269181"/>
      <w:r/>
      <w:bookmarkStart w:id="108" w:name="_Toc98589247"/>
      <w:r/>
      <w:bookmarkStart w:id="109" w:name="_Toc14254"/>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.1.1</w:t>
      </w:r>
      <w:r>
        <w:rPr>
          <w:rFonts w:hint="default" w:ascii="Times New Roman" w:hAnsi="Times New Roman" w:eastAsia="楷体_GB2312" w:cs="Times New Roman"/>
          <w:color w:val="auto"/>
          <w:sz w:val="32"/>
          <w:szCs w:val="32"/>
          <w:lang w:val="en-US" w:eastAsia="zh-CN"/>
        </w:rPr>
        <w:t xml:space="preserve">项目概况</w:t>
      </w:r>
      <w:bookmarkEnd w:id="101"/>
      <w:r/>
      <w:bookmarkEnd w:id="104"/>
      <w:r/>
      <w:bookmarkEnd w:id="105"/>
      <w:r/>
      <w:bookmarkEnd w:id="106"/>
      <w:r/>
      <w:bookmarkEnd w:id="107"/>
      <w:r/>
      <w:bookmarkEnd w:id="108"/>
      <w:r/>
      <w:bookmarkEnd w:id="109"/>
      <w:r/>
      <w:bookmarkEnd w:id="94"/>
      <w:bookmarkEnd w:id="95"/>
      <w:r>
        <w:rPr>
          <w:rFonts w:hint="default" w:ascii="Times New Roman" w:hAnsi="Times New Roman" w:eastAsia="楷体_GB2312" w:cs="Times New Roman"/>
          <w:color w:val="auto"/>
          <w:sz w:val="32"/>
          <w:szCs w:val="32"/>
          <w:lang w:val="en-US" w:eastAsia="zh-CN"/>
        </w:rPr>
      </w:r>
    </w:p>
    <w:p>
      <w:pPr>
        <w:pageBreakBefore w:val="false"/>
        <w:pBdr/>
        <w:spacing w:line="620" w:lineRule="exact"/>
        <w:ind w:firstLine="640"/>
        <w:rPr>
          <w:rFonts w:hint="default" w:ascii="Times New Roman" w:hAnsi="Times New Roman" w:eastAsia="仿宋_GB2312" w:cs="Times New Roman"/>
          <w:color w:val="auto"/>
          <w:sz w:val="32"/>
          <w:szCs w:val="32"/>
          <w:lang w:val="en-US" w:eastAsia="zh-CN"/>
        </w:rPr>
      </w:pPr>
      <w:r/>
      <w:bookmarkStart w:id="110" w:name="_Toc1734376039"/>
      <w:r/>
      <w:bookmarkStart w:id="111" w:name="_Toc1134356043"/>
      <w:r/>
      <w:bookmarkStart w:id="112" w:name="_Toc624343673"/>
      <w:r>
        <w:rPr>
          <w:rFonts w:hint="default" w:ascii="Times New Roman" w:hAnsi="Times New Roman" w:eastAsia="仿宋_GB2312" w:cs="Times New Roman"/>
          <w:color w:val="auto"/>
          <w:sz w:val="32"/>
          <w:szCs w:val="32"/>
          <w:lang w:val="en-US" w:eastAsia="zh-CN"/>
        </w:rPr>
        <w:t xml:space="preserve">为加强福利彩票公益金管理，提高资金使用效益，根据《彩票管理条例》《彩票管理条例实施细则》《彩票公益金管理办法》《中央集中彩票公益金支持社会福利事业资金使用管理办法》等规定，结合民政事业发展实际，2023年下达市民政局等单位福彩公益金488.65万元。</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113" w:name="_Toc30910"/>
      <w:r/>
      <w:bookmarkStart w:id="114" w:name="_Toc7966"/>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.1.2</w:t>
      </w:r>
      <w:bookmarkEnd w:id="110"/>
      <w:r>
        <w:rPr>
          <w:rFonts w:hint="default" w:ascii="Times New Roman" w:hAnsi="Times New Roman" w:eastAsia="楷体_GB2312" w:cs="Times New Roman"/>
          <w:color w:val="auto"/>
          <w:sz w:val="32"/>
          <w:szCs w:val="32"/>
          <w:lang w:val="en-US" w:eastAsia="zh-Hans"/>
        </w:rPr>
        <w:t xml:space="preserve">项目绩效目标</w:t>
      </w:r>
      <w:bookmarkEnd w:id="113"/>
      <w:r/>
      <w:bookmarkEnd w:id="114"/>
      <w:r/>
      <w:bookmarkEnd w:id="111"/>
      <w:bookmarkEnd w:id="112"/>
      <w:r>
        <w:rPr>
          <w:rFonts w:hint="default" w:ascii="Times New Roman" w:hAnsi="Times New Roman" w:eastAsia="楷体_GB2312" w:cs="Times New Roman"/>
          <w:color w:val="auto"/>
          <w:sz w:val="32"/>
          <w:szCs w:val="32"/>
          <w:lang w:val="en-US" w:eastAsia="zh-Hans"/>
        </w:rPr>
      </w:r>
    </w:p>
    <w:p>
      <w:pPr>
        <w:pageBreakBefore w:val="false"/>
        <w:pBdr/>
        <w:spacing w:line="620" w:lineRule="exact"/>
        <w:ind w:firstLine="640"/>
        <w:rPr>
          <w:rFonts w:hint="default" w:ascii="Times New Roman" w:hAnsi="Times New Roman" w:eastAsia="仿宋_GB2312" w:cs="Times New Roman"/>
          <w:color w:val="auto"/>
          <w:sz w:val="32"/>
          <w:szCs w:val="32"/>
          <w:lang w:val="en-US" w:eastAsia="zh-CN"/>
        </w:rPr>
      </w:pPr>
      <w:r/>
      <w:bookmarkStart w:id="115" w:name="_Toc1009483200"/>
      <w:r/>
      <w:bookmarkStart w:id="116" w:name="_Toc1065344752"/>
      <w:r/>
      <w:bookmarkStart w:id="117" w:name="_Toc1201307846"/>
      <w:r/>
      <w:bookmarkStart w:id="118" w:name="_Toc16624"/>
      <w:r/>
      <w:bookmarkStart w:id="119" w:name="_Toc11280"/>
      <w:r/>
      <w:bookmarkStart w:id="120" w:name="_Toc286565575"/>
      <w:r/>
      <w:bookmarkStart w:id="121" w:name="_Toc29493"/>
      <w:r>
        <w:rPr>
          <w:rFonts w:hint="default" w:ascii="Times New Roman" w:hAnsi="Times New Roman" w:eastAsia="仿宋_GB2312" w:cs="Times New Roman"/>
          <w:color w:val="auto"/>
          <w:sz w:val="32"/>
          <w:szCs w:val="32"/>
          <w:lang w:val="en-US" w:eastAsia="zh-CN"/>
        </w:rPr>
        <w:t xml:space="preserve">按照省财政厅下达至各地的《2023年省级福利彩票公益金市县分成资金区域绩效目标表》，绩效评价工作组结合项目单位工作实际，对项目绩效指标体系进行了优化，完善项目产出和效益绩效目标如下：</w:t>
      </w:r>
      <w:r>
        <w:rPr>
          <w:rFonts w:hint="default" w:ascii="Times New Roman" w:hAnsi="Times New Roman" w:eastAsia="仿宋_GB2312" w:cs="Times New Roman"/>
          <w:color w:val="auto"/>
          <w:sz w:val="32"/>
          <w:szCs w:val="32"/>
          <w:lang w:val="en-US" w:eastAsia="zh-CN"/>
        </w:rPr>
      </w:r>
    </w:p>
    <w:p>
      <w:pPr>
        <w:pBdr/>
        <w:spacing/>
        <w:ind w:firstLine="0" w:left="0"/>
        <w:jc w:val="center"/>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 xml:space="preserve">表2-完善后的绩效目标表</w:t>
      </w:r>
      <w:r>
        <w:rPr>
          <w:rFonts w:hint="default" w:ascii="Times New Roman" w:hAnsi="Times New Roman" w:cs="Times New Roman"/>
          <w:b/>
          <w:bCs/>
          <w:color w:val="auto"/>
          <w:sz w:val="32"/>
          <w:szCs w:val="32"/>
          <w:lang w:val="en-US" w:eastAsia="zh-CN"/>
        </w:rPr>
      </w:r>
    </w:p>
    <w:tbl>
      <w:tblPr>
        <w:tblStyle w:val="71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top w:w="0" w:type="dxa"/>
          <w:right w:w="108" w:type="dxa"/>
          <w:bottom w:w="0" w:type="dxa"/>
        </w:tblCellMar>
        <w:tblLook w:val="04A0" w:firstRow="1" w:lastRow="0" w:firstColumn="1" w:lastColumn="0" w:noHBand="0" w:noVBand="1"/>
      </w:tblPr>
      <w:tblGrid>
        <w:gridCol w:w="1145"/>
        <w:gridCol w:w="1144"/>
        <w:gridCol w:w="5176"/>
        <w:gridCol w:w="1478"/>
      </w:tblGrid>
      <w:tr>
        <w:trPr>
          <w:jc w:val="center"/>
          <w:trHeight w:val="397" w:hRule="exact"/>
          <w:tblHeader/>
        </w:trPr>
        <w:tc>
          <w:tcPr>
            <w:tcBorders>
              <w:top w:val="single" w:color="000000" w:sz="4" w:space="0"/>
              <w:left w:val="single" w:color="000000" w:sz="4" w:space="0"/>
              <w:bottom w:val="single" w:color="000000" w:sz="4" w:space="0"/>
              <w:right w:val="single" w:color="000000" w:sz="4" w:space="0"/>
            </w:tcBorders>
            <w:tcW w:w="640"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一级指标</w:t>
            </w:r>
            <w:r>
              <w:rPr>
                <w:rFonts w:hint="eastAsia" w:ascii="黑体" w:hAnsi="黑体" w:eastAsia="黑体" w:cs="黑体"/>
                <w:b w:val="0"/>
                <w:bCs w:val="0"/>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二级指标</w:t>
            </w:r>
            <w:r>
              <w:rPr>
                <w:rFonts w:hint="eastAsia" w:ascii="黑体" w:hAnsi="黑体" w:eastAsia="黑体" w:cs="黑体"/>
                <w:b w:val="0"/>
                <w:bCs w:val="0"/>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三级指标</w:t>
            </w:r>
            <w:r>
              <w:rPr>
                <w:rFonts w:hint="eastAsia" w:ascii="黑体" w:hAnsi="黑体" w:eastAsia="黑体" w:cs="黑体"/>
                <w:b w:val="0"/>
                <w:bCs w:val="0"/>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指标值</w:t>
            </w:r>
            <w:r>
              <w:rPr>
                <w:rFonts w:hint="eastAsia" w:ascii="黑体" w:hAnsi="黑体" w:eastAsia="黑体" w:cs="黑体"/>
                <w:b w:val="0"/>
                <w:bCs w:val="0"/>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restart"/>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产出</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restart"/>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产出数量</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养老机构护理型床位占比</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＞53%</w:t>
            </w:r>
            <w:r>
              <w:rPr>
                <w:rFonts w:hint="default" w:ascii="Times New Roman" w:hAnsi="Times New Roman" w:eastAsia="宋体" w:cs="Times New Roman"/>
                <w:i w:val="0"/>
                <w:iCs w:val="0"/>
                <w:color w:val="auto"/>
                <w:sz w:val="20"/>
                <w:szCs w:val="20"/>
                <w:u w:val="none"/>
              </w:rPr>
            </w:r>
          </w:p>
        </w:tc>
      </w:tr>
      <w:tr>
        <w:trPr>
          <w:jc w:val="center"/>
          <w:trHeight w:val="50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乡镇（街道）范围具备综合功能的养老服务机构覆盖率</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＞40%</w:t>
            </w:r>
            <w:r>
              <w:rPr>
                <w:rFonts w:hint="default" w:ascii="Times New Roman" w:hAnsi="Times New Roman" w:eastAsia="宋体" w:cs="Times New Roman"/>
                <w:i w:val="0"/>
                <w:iCs w:val="0"/>
                <w:color w:val="auto"/>
                <w:sz w:val="20"/>
                <w:szCs w:val="20"/>
                <w:u w:val="none"/>
              </w:rPr>
            </w:r>
          </w:p>
        </w:tc>
      </w:tr>
      <w:tr>
        <w:trPr>
          <w:jc w:val="center"/>
          <w:trHeight w:val="471"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每百户居民拥有的城乡社区综合服务设施面积</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≥30%</w:t>
            </w:r>
            <w:r>
              <w:rPr>
                <w:rFonts w:hint="default" w:ascii="Times New Roman" w:hAnsi="Times New Roman" w:eastAsia="宋体" w:cs="Times New Roman"/>
                <w:i w:val="0"/>
                <w:iCs w:val="0"/>
                <w:color w:val="auto"/>
                <w:sz w:val="20"/>
                <w:szCs w:val="20"/>
                <w:u w:val="none"/>
              </w:rPr>
            </w:r>
          </w:p>
        </w:tc>
      </w:tr>
      <w:tr>
        <w:trPr>
          <w:jc w:val="center"/>
          <w:trHeight w:val="452"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县级公益性安葬（放）设施覆盖率</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≥55%</w:t>
            </w:r>
            <w:r>
              <w:rPr>
                <w:rFonts w:hint="default" w:ascii="Times New Roman" w:hAnsi="Times New Roman" w:eastAsia="宋体" w:cs="Times New Roman"/>
                <w:i w:val="0"/>
                <w:iCs w:val="0"/>
                <w:color w:val="auto"/>
                <w:sz w:val="20"/>
                <w:szCs w:val="20"/>
                <w:u w:val="none"/>
              </w:rPr>
            </w:r>
          </w:p>
        </w:tc>
      </w:tr>
      <w:tr>
        <w:trPr>
          <w:jc w:val="center"/>
          <w:trHeight w:val="565"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养老机构培训期数</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≥1期</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restart"/>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产出质量</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用于养老服务业的彩票公益金占比</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≥55%</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养老机构服务和管理规范化程度</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≥90%</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儿童养治教康护理服务覆盖率</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≥90%</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产出成本</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整体成本是否控制在年初目标值内</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成本控制良好</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restart"/>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效益</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restart"/>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社会效益</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社会养老服务体系建设</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逐渐健全</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社会工作者服务能力和社会组织管理水平</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显著提升</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村（社区）基层治理水平</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显著提升</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640" w:type="pct"/>
            <w:vAlign w:val="center"/>
            <w:vMerge w:val="continue"/>
            <w:textDirection w:val="lrTb"/>
            <w:noWrap w:val="false"/>
          </w:tcPr>
          <w:p>
            <w:pPr>
              <w:keepNext w:val="false"/>
              <w:keepLines w:val="false"/>
              <w:pageBreakBefore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39"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满意度</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2892" w:type="pct"/>
            <w:vAlign w:val="center"/>
            <w:textDirection w:val="lrTb"/>
            <w:noWrap w:val="false"/>
          </w:tcPr>
          <w:p>
            <w:pPr>
              <w:keepNext w:val="false"/>
              <w:keepLines w:val="false"/>
              <w:pageBreakBefore w:val="false"/>
              <w:widowControl w:val="true"/>
              <w:suppressLineNumbers w:val="false"/>
              <w:pBdr/>
              <w:spacing w:line="240" w:lineRule="auto"/>
              <w:ind w:firstLine="0"/>
              <w:jc w:val="lef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服务对象满意度</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≧90%</w:t>
            </w:r>
            <w:bookmarkEnd w:id="115"/>
            <w:bookmarkEnd w:id="116"/>
            <w:bookmarkEnd w:id="117"/>
            <w:bookmarkEnd w:id="118"/>
            <w:bookmarkEnd w:id="119"/>
            <w:bookmarkEnd w:id="120"/>
            <w:bookmarkEnd w:id="121"/>
            <w:r>
              <w:rPr>
                <w:rFonts w:hint="default" w:ascii="Times New Roman" w:hAnsi="Times New Roman" w:eastAsia="宋体" w:cs="Times New Roman"/>
                <w:i w:val="0"/>
                <w:iCs w:val="0"/>
                <w:color w:val="auto"/>
                <w:sz w:val="20"/>
                <w:szCs w:val="20"/>
                <w:u w:val="none"/>
              </w:rPr>
            </w:r>
          </w:p>
        </w:tc>
      </w:tr>
    </w:tbl>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22" w:name="_Toc1344881598"/>
      <w:r/>
      <w:bookmarkStart w:id="123" w:name="_Toc1279582492"/>
      <w:r/>
      <w:bookmarkStart w:id="124" w:name="_Toc5154"/>
      <w:r/>
      <w:bookmarkStart w:id="125" w:name="_Toc1862546742"/>
      <w:r/>
      <w:bookmarkStart w:id="126" w:name="_Toc72654505"/>
      <w:r/>
      <w:bookmarkStart w:id="127" w:name="_Toc23850"/>
      <w:r/>
      <w:bookmarkStart w:id="128" w:name="_Toc14067"/>
      <w:r>
        <w:rPr>
          <w:rFonts w:hint="default" w:ascii="Times New Roman" w:hAnsi="Times New Roman" w:eastAsia="楷体_GB2312" w:cs="Times New Roman"/>
          <w:color w:val="auto"/>
          <w:sz w:val="32"/>
          <w:szCs w:val="32"/>
          <w:lang w:val="en-US" w:eastAsia="zh-CN"/>
        </w:rPr>
        <w:t xml:space="preserve">2.1</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项目资金情况</w:t>
      </w:r>
      <w:bookmarkEnd w:id="122"/>
      <w:r/>
      <w:bookmarkEnd w:id="123"/>
      <w:r/>
      <w:bookmarkEnd w:id="124"/>
      <w:r/>
      <w:bookmarkEnd w:id="125"/>
      <w:r/>
      <w:bookmarkEnd w:id="126"/>
      <w:r/>
      <w:bookmarkEnd w:id="127"/>
      <w:r/>
      <w:bookmarkEnd w:id="128"/>
      <w:r/>
      <w:r>
        <w:rPr>
          <w:rFonts w:hint="default" w:ascii="Times New Roman" w:hAnsi="Times New Roman" w:eastAsia="楷体_GB2312" w:cs="Times New Roman"/>
          <w:color w:val="auto"/>
          <w:sz w:val="32"/>
          <w:szCs w:val="32"/>
          <w:lang w:val="en-US" w:eastAsia="zh-CN"/>
        </w:rPr>
      </w:r>
    </w:p>
    <w:p>
      <w:pPr>
        <w:pBdr/>
        <w:spacing/>
        <w:ind/>
        <w:rPr>
          <w:rFonts w:hint="default" w:ascii="Times New Roman" w:hAnsi="Times New Roman" w:cs="Times New Roman"/>
          <w:color w:val="auto"/>
          <w:sz w:val="32"/>
          <w:szCs w:val="32"/>
          <w:lang w:val="en-US" w:eastAsia="zh-CN"/>
        </w:rPr>
      </w:pPr>
      <w:r/>
      <w:bookmarkStart w:id="129" w:name="_Toc1041701986"/>
      <w:r/>
      <w:bookmarkStart w:id="130" w:name="_Toc1159632911"/>
      <w:r/>
      <w:bookmarkStart w:id="131" w:name="_Toc2101454122"/>
      <w:r/>
      <w:bookmarkStart w:id="132" w:name="_Toc1333554039"/>
      <w:r/>
      <w:bookmarkStart w:id="133" w:name="_Toc15499880"/>
      <w:r/>
      <w:bookmarkStart w:id="134" w:name="_Toc1543979197"/>
      <w:r/>
      <w:bookmarkStart w:id="135" w:name="_Toc2134506190"/>
      <w:r>
        <w:rPr>
          <w:rFonts w:hint="default" w:ascii="Times New Roman" w:hAnsi="Times New Roman" w:cs="Times New Roman"/>
          <w:color w:val="auto"/>
          <w:sz w:val="32"/>
          <w:szCs w:val="32"/>
          <w:lang w:eastAsia="zh-CN"/>
        </w:rPr>
        <w:t xml:space="preserve">福彩公益金市县分成资金</w:t>
      </w:r>
      <w:r>
        <w:rPr>
          <w:rFonts w:hint="default" w:ascii="Times New Roman" w:hAnsi="Times New Roman" w:cs="Times New Roman"/>
          <w:color w:val="auto"/>
          <w:sz w:val="32"/>
          <w:szCs w:val="32"/>
          <w:lang w:val="en-US" w:eastAsia="zh-CN"/>
        </w:rPr>
        <w:t xml:space="preserve">经统计，项目资金预算数725.44万元，实际下达488.65万元，当年执行数409.26万元</w:t>
      </w:r>
      <w:r>
        <w:rPr>
          <w:rFonts w:hint="default" w:ascii="Times New Roman" w:hAnsi="Times New Roman" w:cs="Times New Roman"/>
          <w:color w:val="auto"/>
          <w:sz w:val="32"/>
          <w:szCs w:val="32"/>
          <w:lang w:eastAsia="zh-Hans"/>
        </w:rPr>
        <w:t xml:space="preserve">。</w:t>
      </w:r>
      <w:r>
        <w:rPr>
          <w:rFonts w:hint="default" w:ascii="Times New Roman" w:hAnsi="Times New Roman" w:cs="Times New Roman"/>
          <w:color w:val="auto"/>
          <w:sz w:val="32"/>
          <w:szCs w:val="32"/>
          <w:lang w:val="en-US" w:eastAsia="zh-CN"/>
        </w:rPr>
        <w:t xml:space="preserve">详细情况如下：</w:t>
      </w:r>
      <w:r>
        <w:rPr>
          <w:rFonts w:hint="default" w:ascii="Times New Roman" w:hAnsi="Times New Roman" w:cs="Times New Roman"/>
          <w:color w:val="auto"/>
          <w:sz w:val="32"/>
          <w:szCs w:val="32"/>
          <w:lang w:val="en-US" w:eastAsia="zh-CN"/>
        </w:rPr>
      </w:r>
    </w:p>
    <w:p>
      <w:pPr>
        <w:pBdr/>
        <w:spacing/>
        <w:ind w:firstLine="0" w:left="0"/>
        <w:jc w:val="center"/>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 xml:space="preserve">表3-福彩公益金市县分成资金情况表</w:t>
      </w:r>
      <w:r>
        <w:rPr>
          <w:rFonts w:hint="default" w:ascii="Times New Roman" w:hAnsi="Times New Roman" w:cs="Times New Roman"/>
          <w:b/>
          <w:bCs/>
          <w:color w:val="auto"/>
          <w:sz w:val="32"/>
          <w:szCs w:val="32"/>
          <w:lang w:val="en-US" w:eastAsia="zh-CN"/>
        </w:rPr>
      </w:r>
    </w:p>
    <w:tbl>
      <w:tblPr>
        <w:tblStyle w:val="716"/>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top w:w="0" w:type="dxa"/>
          <w:right w:w="108" w:type="dxa"/>
          <w:bottom w:w="0" w:type="dxa"/>
        </w:tblCellMar>
        <w:tblLook w:val="04A0" w:firstRow="1" w:lastRow="0" w:firstColumn="1" w:lastColumn="0" w:noHBand="0" w:noVBand="1"/>
      </w:tblPr>
      <w:tblGrid>
        <w:gridCol w:w="2316"/>
        <w:gridCol w:w="1389"/>
        <w:gridCol w:w="1271"/>
        <w:gridCol w:w="2431"/>
        <w:gridCol w:w="1536"/>
      </w:tblGrid>
      <w:tr>
        <w:trPr>
          <w:jc w:val="center"/>
          <w:trHeight w:val="397" w:hRule="exact"/>
        </w:trPr>
        <w:tc>
          <w:tcPr>
            <w:tcBorders>
              <w:top w:val="none" w:color="000000" w:sz="4" w:space="0"/>
              <w:left w:val="none" w:color="000000" w:sz="4" w:space="0"/>
              <w:bottom w:val="single" w:color="000000" w:sz="4" w:space="0"/>
              <w:right w:val="none" w:color="000000" w:sz="4" w:space="0"/>
            </w:tcBorders>
            <w:tcW w:w="1255" w:type="pct"/>
            <w:vAlign w:val="center"/>
            <w:textDirection w:val="lrTb"/>
            <w:noWrap/>
          </w:tcPr>
          <w:p>
            <w:pPr>
              <w:keepNext w:val="false"/>
              <w:keepLines w:val="false"/>
              <w:pageBreakBefore w:val="false"/>
              <w:pBdr/>
              <w:spacing w:line="240" w:lineRule="auto"/>
              <w:ind w:firstLine="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r>
            <w:r>
              <w:rPr>
                <w:rFonts w:hint="eastAsia" w:ascii="仿宋" w:hAnsi="仿宋" w:eastAsia="仿宋" w:cs="仿宋"/>
                <w:i w:val="0"/>
                <w:iCs w:val="0"/>
                <w:color w:val="auto"/>
                <w:sz w:val="21"/>
                <w:szCs w:val="21"/>
                <w:u w:val="none"/>
              </w:rPr>
            </w:r>
          </w:p>
        </w:tc>
        <w:tc>
          <w:tcPr>
            <w:tcBorders>
              <w:top w:val="none" w:color="000000" w:sz="4" w:space="0"/>
              <w:left w:val="none" w:color="000000" w:sz="4" w:space="0"/>
              <w:bottom w:val="single" w:color="000000" w:sz="4" w:space="0"/>
              <w:right w:val="none" w:color="000000" w:sz="4" w:space="0"/>
            </w:tcBorders>
            <w:tcW w:w="826" w:type="pct"/>
            <w:vAlign w:val="center"/>
            <w:textDirection w:val="lrTb"/>
            <w:noWrap/>
          </w:tcPr>
          <w:p>
            <w:pPr>
              <w:keepNext w:val="false"/>
              <w:keepLines w:val="false"/>
              <w:pageBreakBefore w:val="false"/>
              <w:pBdr/>
              <w:spacing w:line="240" w:lineRule="auto"/>
              <w:ind w:firstLine="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r>
            <w:r>
              <w:rPr>
                <w:rFonts w:hint="eastAsia" w:ascii="仿宋" w:hAnsi="仿宋" w:eastAsia="仿宋" w:cs="仿宋"/>
                <w:i w:val="0"/>
                <w:iCs w:val="0"/>
                <w:color w:val="auto"/>
                <w:sz w:val="21"/>
                <w:szCs w:val="21"/>
                <w:u w:val="none"/>
              </w:rPr>
            </w:r>
          </w:p>
        </w:tc>
        <w:tc>
          <w:tcPr>
            <w:tcBorders>
              <w:top w:val="none" w:color="000000" w:sz="4" w:space="0"/>
              <w:left w:val="none" w:color="000000" w:sz="4" w:space="0"/>
              <w:bottom w:val="single" w:color="000000" w:sz="4" w:space="0"/>
              <w:right w:val="none" w:color="000000" w:sz="4" w:space="0"/>
            </w:tcBorders>
            <w:tcW w:w="690" w:type="pct"/>
            <w:vAlign w:val="center"/>
            <w:textDirection w:val="lrTb"/>
            <w:noWrap/>
          </w:tcPr>
          <w:p>
            <w:pPr>
              <w:keepNext w:val="false"/>
              <w:keepLines w:val="false"/>
              <w:pageBreakBefore w:val="false"/>
              <w:pBdr/>
              <w:spacing w:line="240" w:lineRule="auto"/>
              <w:ind w:firstLine="0"/>
              <w:jc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r>
            <w:r>
              <w:rPr>
                <w:rFonts w:hint="eastAsia" w:ascii="仿宋" w:hAnsi="仿宋" w:eastAsia="仿宋" w:cs="仿宋"/>
                <w:i w:val="0"/>
                <w:iCs w:val="0"/>
                <w:color w:val="auto"/>
                <w:sz w:val="21"/>
                <w:szCs w:val="21"/>
                <w:u w:val="none"/>
              </w:rPr>
            </w:r>
          </w:p>
        </w:tc>
        <w:tc>
          <w:tcPr>
            <w:tcBorders>
              <w:top w:val="none" w:color="000000" w:sz="4" w:space="0"/>
              <w:left w:val="none" w:color="000000" w:sz="4" w:space="0"/>
              <w:bottom w:val="single" w:color="000000" w:sz="4" w:space="0"/>
              <w:right w:val="none" w:color="000000" w:sz="4" w:space="0"/>
            </w:tcBorders>
            <w:tcW w:w="1318" w:type="pct"/>
            <w:vAlign w:val="center"/>
            <w:textDirection w:val="lrTb"/>
            <w:noWrap/>
          </w:tcPr>
          <w:p>
            <w:pPr>
              <w:keepNext w:val="false"/>
              <w:keepLines w:val="false"/>
              <w:pageBreakBefore w:val="false"/>
              <w:pBdr/>
              <w:spacing w:line="240" w:lineRule="auto"/>
              <w:ind w:firstLine="0"/>
              <w:jc w:val="right"/>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r>
            <w:r>
              <w:rPr>
                <w:rFonts w:hint="eastAsia" w:ascii="仿宋" w:hAnsi="仿宋" w:eastAsia="仿宋" w:cs="仿宋"/>
                <w:i w:val="0"/>
                <w:iCs w:val="0"/>
                <w:color w:val="auto"/>
                <w:sz w:val="21"/>
                <w:szCs w:val="21"/>
                <w:u w:val="none"/>
              </w:rPr>
            </w:r>
          </w:p>
        </w:tc>
        <w:tc>
          <w:tcPr>
            <w:tcBorders>
              <w:top w:val="none" w:color="000000" w:sz="4" w:space="0"/>
              <w:left w:val="none" w:color="000000" w:sz="4" w:space="0"/>
              <w:bottom w:val="single" w:color="000000" w:sz="4" w:space="0"/>
              <w:right w:val="none" w:color="000000" w:sz="4" w:space="0"/>
            </w:tcBorders>
            <w:tcW w:w="908"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eastAsia" w:ascii="仿宋" w:hAnsi="仿宋" w:eastAsia="仿宋" w:cs="仿宋"/>
                <w:i w:val="0"/>
                <w:iCs w:val="0"/>
                <w:color w:val="auto"/>
                <w:sz w:val="21"/>
                <w:szCs w:val="21"/>
                <w:u w:val="none"/>
              </w:rPr>
            </w:pPr>
            <w:r>
              <w:rPr>
                <w:rFonts w:hint="eastAsia" w:ascii="仿宋" w:hAnsi="仿宋" w:eastAsia="仿宋" w:cs="仿宋"/>
                <w:b w:val="0"/>
                <w:i w:val="0"/>
                <w:iCs w:val="0"/>
                <w:color w:val="auto"/>
                <w:sz w:val="21"/>
                <w:szCs w:val="21"/>
                <w:u w:val="none"/>
                <w:lang w:val="en-US" w:eastAsia="zh-CN" w:bidi="ar"/>
              </w:rPr>
              <w:t xml:space="preserve">单位：万元</w:t>
            </w:r>
            <w:r>
              <w:rPr>
                <w:rFonts w:hint="eastAsia" w:ascii="仿宋" w:hAnsi="仿宋" w:eastAsia="仿宋" w:cs="仿宋"/>
                <w:i w:val="0"/>
                <w:iCs w:val="0"/>
                <w:color w:val="auto"/>
                <w:sz w:val="21"/>
                <w:szCs w:val="21"/>
                <w:u w:val="none"/>
              </w:rPr>
            </w:r>
          </w:p>
        </w:tc>
      </w:tr>
      <w:tr>
        <w:trPr>
          <w:jc w:val="center"/>
          <w:trHeight w:val="587" w:hRule="exact"/>
        </w:trPr>
        <w:tc>
          <w:tcPr>
            <w:tcBorders>
              <w:top w:val="single" w:color="000000" w:sz="4" w:space="0"/>
              <w:left w:val="single" w:color="000000" w:sz="4" w:space="0"/>
              <w:bottom w:val="single" w:color="000000" w:sz="4" w:space="0"/>
              <w:right w:val="single" w:color="000000" w:sz="4" w:space="0"/>
            </w:tcBorders>
            <w:tcW w:w="1255"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单位</w:t>
            </w:r>
            <w:r>
              <w:rPr>
                <w:rFonts w:hint="eastAsia" w:ascii="黑体" w:hAnsi="黑体" w:eastAsia="黑体" w:cs="黑体"/>
                <w:b w:val="0"/>
                <w:bCs w:val="0"/>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资金预算数</w:t>
            </w:r>
            <w:r>
              <w:rPr>
                <w:rFonts w:hint="eastAsia" w:ascii="黑体" w:hAnsi="黑体" w:eastAsia="黑体" w:cs="黑体"/>
                <w:b w:val="0"/>
                <w:bCs w:val="0"/>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90"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资金下达数</w:t>
            </w:r>
            <w:r>
              <w:rPr>
                <w:rFonts w:hint="eastAsia" w:ascii="黑体" w:hAnsi="黑体" w:eastAsia="黑体" w:cs="黑体"/>
                <w:b w:val="0"/>
                <w:bCs w:val="0"/>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1318"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截至2023年底使用资金</w:t>
            </w:r>
            <w:r>
              <w:rPr>
                <w:rFonts w:hint="eastAsia" w:ascii="黑体" w:hAnsi="黑体" w:eastAsia="黑体" w:cs="黑体"/>
                <w:b w:val="0"/>
                <w:bCs w:val="0"/>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908"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eastAsia" w:ascii="黑体" w:hAnsi="黑体" w:eastAsia="黑体" w:cs="黑体"/>
                <w:b w:val="0"/>
                <w:bCs w:val="0"/>
                <w:i w:val="0"/>
                <w:iCs w:val="0"/>
                <w:color w:val="auto"/>
                <w:sz w:val="20"/>
                <w:szCs w:val="20"/>
                <w:u w:val="none"/>
              </w:rPr>
            </w:pPr>
            <w:r>
              <w:rPr>
                <w:rFonts w:hint="eastAsia" w:ascii="黑体" w:hAnsi="黑体" w:eastAsia="黑体" w:cs="黑体"/>
                <w:b w:val="0"/>
                <w:bCs w:val="0"/>
                <w:i w:val="0"/>
                <w:iCs w:val="0"/>
                <w:color w:val="auto"/>
                <w:sz w:val="20"/>
                <w:szCs w:val="20"/>
                <w:u w:val="none"/>
                <w:lang w:val="en-US" w:eastAsia="zh-CN" w:bidi="ar"/>
              </w:rPr>
              <w:t xml:space="preserve">备注</w:t>
            </w:r>
            <w:r>
              <w:rPr>
                <w:rFonts w:hint="eastAsia" w:ascii="黑体" w:hAnsi="黑体" w:eastAsia="黑体" w:cs="黑体"/>
                <w:b w:val="0"/>
                <w:bCs w:val="0"/>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255"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随州市民政局（本级）</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444.71</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90"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249.74</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1318"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241.17</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908" w:type="pct"/>
            <w:vAlign w:val="center"/>
            <w:textDirection w:val="lrTb"/>
            <w:noWrap/>
          </w:tcPr>
          <w:p>
            <w:pPr>
              <w:keepNext w:val="false"/>
              <w:keepLines w:val="false"/>
              <w:pageBreakBefore w:val="false"/>
              <w:pBdr/>
              <w:spacing w:line="240" w:lineRule="auto"/>
              <w:ind w:firstLine="0"/>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255"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市慈善总会</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b w:val="0"/>
                <w:i w:val="0"/>
                <w:iCs w:val="0"/>
                <w:color w:val="auto"/>
                <w:sz w:val="20"/>
                <w:szCs w:val="20"/>
                <w:u w:val="none"/>
                <w:lang w:val="en-US" w:eastAsia="zh-CN" w:bidi="ar"/>
              </w:rPr>
              <w:t xml:space="preserve">20.00</w:t>
            </w:r>
            <w:r>
              <w:rPr>
                <w:rFonts w:hint="default" w:ascii="Times New Roman" w:hAnsi="Times New Roman" w:eastAsia="宋体" w:cs="Times New Roman"/>
                <w:i w:val="0"/>
                <w:iCs w:val="0"/>
                <w:color w:val="auto"/>
                <w:sz w:val="20"/>
                <w:szCs w:val="20"/>
                <w:u w:val="none"/>
                <w:lang w:val="en-US"/>
              </w:rPr>
            </w:r>
          </w:p>
        </w:tc>
        <w:tc>
          <w:tcPr>
            <w:tcBorders>
              <w:top w:val="single" w:color="000000" w:sz="4" w:space="0"/>
              <w:left w:val="single" w:color="000000" w:sz="4" w:space="0"/>
              <w:bottom w:val="single" w:color="000000" w:sz="4" w:space="0"/>
              <w:right w:val="single" w:color="000000" w:sz="4" w:space="0"/>
            </w:tcBorders>
            <w:tcW w:w="690"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b w:val="0"/>
                <w:i w:val="0"/>
                <w:iCs w:val="0"/>
                <w:color w:val="auto"/>
                <w:sz w:val="20"/>
                <w:szCs w:val="20"/>
                <w:u w:val="none"/>
                <w:lang w:val="en-US" w:eastAsia="zh-CN" w:bidi="ar"/>
              </w:rPr>
              <w:t xml:space="preserve">20.00</w:t>
            </w:r>
            <w:r>
              <w:rPr>
                <w:rFonts w:hint="default" w:ascii="Times New Roman" w:hAnsi="Times New Roman" w:eastAsia="宋体" w:cs="Times New Roman"/>
                <w:i w:val="0"/>
                <w:iCs w:val="0"/>
                <w:color w:val="auto"/>
                <w:sz w:val="20"/>
                <w:szCs w:val="20"/>
                <w:u w:val="none"/>
                <w:lang w:val="en-US"/>
              </w:rPr>
            </w:r>
          </w:p>
        </w:tc>
        <w:tc>
          <w:tcPr>
            <w:tcBorders>
              <w:top w:val="single" w:color="000000" w:sz="4" w:space="0"/>
              <w:left w:val="single" w:color="000000" w:sz="4" w:space="0"/>
              <w:bottom w:val="single" w:color="000000" w:sz="4" w:space="0"/>
              <w:right w:val="single" w:color="000000" w:sz="4" w:space="0"/>
            </w:tcBorders>
            <w:tcW w:w="1318"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b w:val="0"/>
                <w:i w:val="0"/>
                <w:iCs w:val="0"/>
                <w:color w:val="auto"/>
                <w:sz w:val="20"/>
                <w:szCs w:val="20"/>
                <w:u w:val="none"/>
                <w:lang w:val="en-US" w:eastAsia="zh-CN" w:bidi="ar"/>
              </w:rPr>
              <w:t xml:space="preserve">20.00</w:t>
            </w:r>
            <w:r>
              <w:rPr>
                <w:rFonts w:hint="default" w:ascii="Times New Roman" w:hAnsi="Times New Roman" w:eastAsia="宋体" w:cs="Times New Roman"/>
                <w:i w:val="0"/>
                <w:iCs w:val="0"/>
                <w:color w:val="auto"/>
                <w:sz w:val="20"/>
                <w:szCs w:val="20"/>
                <w:u w:val="none"/>
                <w:lang w:val="en-US"/>
              </w:rPr>
            </w:r>
          </w:p>
        </w:tc>
        <w:tc>
          <w:tcPr>
            <w:tcBorders>
              <w:top w:val="single" w:color="000000" w:sz="4" w:space="0"/>
              <w:left w:val="single" w:color="000000" w:sz="4" w:space="0"/>
              <w:bottom w:val="single" w:color="000000" w:sz="4" w:space="0"/>
              <w:right w:val="single" w:color="000000" w:sz="4" w:space="0"/>
            </w:tcBorders>
            <w:tcW w:w="908" w:type="pct"/>
            <w:vAlign w:val="center"/>
            <w:textDirection w:val="lrTb"/>
            <w:noWrap/>
          </w:tcPr>
          <w:p>
            <w:pPr>
              <w:keepNext w:val="false"/>
              <w:keepLines w:val="false"/>
              <w:pageBreakBefore w:val="false"/>
              <w:pBdr/>
              <w:spacing w:line="240" w:lineRule="auto"/>
              <w:ind w:firstLine="0"/>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602" w:hRule="exact"/>
        </w:trPr>
        <w:tc>
          <w:tcPr>
            <w:tcBorders>
              <w:top w:val="single" w:color="000000" w:sz="4" w:space="0"/>
              <w:left w:val="single" w:color="000000" w:sz="4" w:space="0"/>
              <w:bottom w:val="single" w:color="000000" w:sz="4" w:space="0"/>
              <w:right w:val="single" w:color="000000" w:sz="4" w:space="0"/>
            </w:tcBorders>
            <w:tcW w:w="1255"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市救助站</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121.73</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90"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121.73</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1318"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50.91</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908" w:type="pct"/>
            <w:vAlign w:val="center"/>
            <w:textDirection w:val="lrTb"/>
            <w:noWrap w:val="false"/>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以前年度结转指标</w:t>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255"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市社会福利中心</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b w:val="0"/>
                <w:i w:val="0"/>
                <w:iCs w:val="0"/>
                <w:color w:val="auto"/>
                <w:sz w:val="20"/>
                <w:szCs w:val="20"/>
                <w:u w:val="none"/>
                <w:lang w:val="en-US" w:eastAsia="zh-CN" w:bidi="ar"/>
              </w:rPr>
              <w:t xml:space="preserve">139.00</w:t>
            </w:r>
            <w:r>
              <w:rPr>
                <w:rFonts w:hint="default" w:ascii="Times New Roman" w:hAnsi="Times New Roman" w:eastAsia="宋体" w:cs="Times New Roman"/>
                <w:i w:val="0"/>
                <w:iCs w:val="0"/>
                <w:color w:val="auto"/>
                <w:sz w:val="20"/>
                <w:szCs w:val="20"/>
                <w:u w:val="none"/>
                <w:lang w:val="en-US"/>
              </w:rPr>
            </w:r>
          </w:p>
        </w:tc>
        <w:tc>
          <w:tcPr>
            <w:tcBorders>
              <w:top w:val="single" w:color="000000" w:sz="4" w:space="0"/>
              <w:left w:val="single" w:color="000000" w:sz="4" w:space="0"/>
              <w:bottom w:val="single" w:color="000000" w:sz="4" w:space="0"/>
              <w:right w:val="single" w:color="000000" w:sz="4" w:space="0"/>
            </w:tcBorders>
            <w:tcW w:w="690"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97.18</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1318"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b w:val="0"/>
                <w:i w:val="0"/>
                <w:iCs w:val="0"/>
                <w:color w:val="auto"/>
                <w:sz w:val="20"/>
                <w:szCs w:val="20"/>
                <w:u w:val="none"/>
                <w:lang w:val="en-US" w:eastAsia="zh-CN" w:bidi="ar"/>
              </w:rPr>
              <w:t xml:space="preserve">97.18</w:t>
            </w:r>
            <w:r>
              <w:rPr>
                <w:rFonts w:hint="default" w:ascii="Times New Roman" w:hAnsi="Times New Roman" w:eastAsia="宋体" w:cs="Times New Roman"/>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908" w:type="pct"/>
            <w:vAlign w:val="center"/>
            <w:textDirection w:val="lrTb"/>
            <w:noWrap/>
          </w:tcPr>
          <w:p>
            <w:pPr>
              <w:keepNext w:val="false"/>
              <w:keepLines w:val="false"/>
              <w:pageBreakBefore w:val="false"/>
              <w:pBdr/>
              <w:spacing w:line="240" w:lineRule="auto"/>
              <w:ind w:firstLine="0"/>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r>
            <w:r>
              <w:rPr>
                <w:rFonts w:hint="default" w:ascii="Times New Roman" w:hAnsi="Times New Roman" w:eastAsia="宋体" w:cs="Times New Roman"/>
                <w:i w:val="0"/>
                <w:iCs w:val="0"/>
                <w:color w:val="auto"/>
                <w:sz w:val="20"/>
                <w:szCs w:val="20"/>
                <w:u w:val="none"/>
              </w:rPr>
            </w:r>
          </w:p>
        </w:tc>
      </w:tr>
      <w:tr>
        <w:trPr>
          <w:jc w:val="center"/>
          <w:trHeight w:val="397" w:hRule="exact"/>
        </w:trPr>
        <w:tc>
          <w:tcPr>
            <w:tcBorders>
              <w:top w:val="single" w:color="000000" w:sz="4" w:space="0"/>
              <w:left w:val="single" w:color="000000" w:sz="4" w:space="0"/>
              <w:bottom w:val="single" w:color="000000" w:sz="4" w:space="0"/>
              <w:right w:val="single" w:color="000000" w:sz="4" w:space="0"/>
            </w:tcBorders>
            <w:tcW w:w="1255" w:type="pct"/>
            <w:vAlign w:val="center"/>
            <w:textDirection w:val="lrTb"/>
            <w:noWrap/>
          </w:tcPr>
          <w:p>
            <w:pPr>
              <w:keepNext w:val="false"/>
              <w:keepLines w:val="false"/>
              <w:pageBreakBefore w:val="false"/>
              <w:widowControl w:val="true"/>
              <w:suppressLineNumbers w:val="false"/>
              <w:pBdr/>
              <w:spacing w:line="240" w:lineRule="auto"/>
              <w:ind w:firstLine="0"/>
              <w:jc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z w:val="20"/>
                <w:szCs w:val="20"/>
                <w:u w:val="none"/>
                <w:lang w:val="en-US" w:eastAsia="zh-CN" w:bidi="ar"/>
              </w:rPr>
              <w:t xml:space="preserve">合计</w:t>
            </w:r>
            <w:r>
              <w:rPr>
                <w:rFonts w:hint="default" w:ascii="Times New Roman" w:hAnsi="Times New Roman" w:eastAsia="宋体" w:cs="Times New Roman"/>
                <w:b/>
                <w:bCs/>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826"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z w:val="20"/>
                <w:szCs w:val="20"/>
                <w:u w:val="none"/>
                <w:lang w:val="en-US" w:eastAsia="zh-CN" w:bidi="ar"/>
              </w:rPr>
              <w:t xml:space="preserve">725.44</w:t>
            </w:r>
            <w:r>
              <w:rPr>
                <w:rFonts w:hint="default" w:ascii="Times New Roman" w:hAnsi="Times New Roman" w:eastAsia="宋体" w:cs="Times New Roman"/>
                <w:b/>
                <w:bCs/>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690"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z w:val="20"/>
                <w:szCs w:val="20"/>
                <w:u w:val="none"/>
                <w:lang w:val="en-US" w:eastAsia="zh-CN" w:bidi="ar"/>
              </w:rPr>
              <w:t xml:space="preserve">488.65</w:t>
            </w:r>
            <w:r>
              <w:rPr>
                <w:rFonts w:hint="default" w:ascii="Times New Roman" w:hAnsi="Times New Roman" w:eastAsia="宋体" w:cs="Times New Roman"/>
                <w:b/>
                <w:bCs/>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1318" w:type="pct"/>
            <w:vAlign w:val="center"/>
            <w:textDirection w:val="lrTb"/>
            <w:noWrap/>
          </w:tcPr>
          <w:p>
            <w:pPr>
              <w:keepNext w:val="false"/>
              <w:keepLines w:val="false"/>
              <w:pageBreakBefore w:val="false"/>
              <w:widowControl w:val="true"/>
              <w:suppressLineNumbers w:val="false"/>
              <w:pBdr/>
              <w:spacing w:line="240" w:lineRule="auto"/>
              <w:ind w:firstLine="0"/>
              <w:jc w:val="right"/>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z w:val="20"/>
                <w:szCs w:val="20"/>
                <w:u w:val="none"/>
                <w:lang w:val="en-US" w:eastAsia="zh-CN" w:bidi="ar"/>
              </w:rPr>
              <w:t xml:space="preserve">409.26</w:t>
            </w:r>
            <w:r>
              <w:rPr>
                <w:rFonts w:hint="default" w:ascii="Times New Roman" w:hAnsi="Times New Roman" w:eastAsia="宋体" w:cs="Times New Roman"/>
                <w:b/>
                <w:bCs/>
                <w:i w:val="0"/>
                <w:iCs w:val="0"/>
                <w:color w:val="auto"/>
                <w:sz w:val="20"/>
                <w:szCs w:val="20"/>
                <w:u w:val="none"/>
              </w:rPr>
            </w:r>
          </w:p>
        </w:tc>
        <w:tc>
          <w:tcPr>
            <w:tcBorders>
              <w:top w:val="single" w:color="000000" w:sz="4" w:space="0"/>
              <w:left w:val="single" w:color="000000" w:sz="4" w:space="0"/>
              <w:bottom w:val="single" w:color="000000" w:sz="4" w:space="0"/>
              <w:right w:val="single" w:color="000000" w:sz="4" w:space="0"/>
            </w:tcBorders>
            <w:tcW w:w="908" w:type="pct"/>
            <w:vAlign w:val="center"/>
            <w:textDirection w:val="lrTb"/>
            <w:noWrap/>
          </w:tcPr>
          <w:p>
            <w:pPr>
              <w:keepNext w:val="false"/>
              <w:keepLines w:val="false"/>
              <w:pageBreakBefore w:val="false"/>
              <w:pBdr/>
              <w:spacing w:line="240" w:lineRule="auto"/>
              <w:ind w:firstLine="0"/>
              <w:rPr>
                <w:rFonts w:hint="default" w:ascii="Times New Roman" w:hAnsi="Times New Roman" w:eastAsia="宋体" w:cs="Times New Roman"/>
                <w:b/>
                <w:bCs/>
                <w:i w:val="0"/>
                <w:iCs w:val="0"/>
                <w:color w:val="auto"/>
                <w:sz w:val="20"/>
                <w:szCs w:val="20"/>
                <w:u w:val="none"/>
              </w:rPr>
            </w:pPr>
            <w:r>
              <w:rPr>
                <w:rFonts w:hint="default" w:ascii="Times New Roman" w:hAnsi="Times New Roman" w:eastAsia="宋体" w:cs="Times New Roman"/>
                <w:b/>
                <w:bCs/>
                <w:i w:val="0"/>
                <w:iCs w:val="0"/>
                <w:color w:val="auto"/>
                <w:sz w:val="20"/>
                <w:szCs w:val="20"/>
                <w:u w:val="none"/>
              </w:rPr>
            </w:r>
            <w:r>
              <w:rPr>
                <w:rFonts w:hint="default" w:ascii="Times New Roman" w:hAnsi="Times New Roman" w:eastAsia="宋体" w:cs="Times New Roman"/>
                <w:b/>
                <w:bCs/>
                <w:i w:val="0"/>
                <w:iCs w:val="0"/>
                <w:color w:val="auto"/>
                <w:sz w:val="20"/>
                <w:szCs w:val="20"/>
                <w:u w:val="none"/>
              </w:rPr>
            </w:r>
          </w:p>
        </w:tc>
      </w:tr>
    </w:tbl>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136" w:name="_Toc6203"/>
      <w:r/>
      <w:bookmarkStart w:id="137" w:name="_Toc23866"/>
      <w:r>
        <w:rPr>
          <w:rFonts w:hint="default" w:ascii="Times New Roman" w:hAnsi="Times New Roman" w:eastAsia="楷体_GB2312" w:cs="Times New Roman"/>
          <w:color w:val="auto"/>
          <w:sz w:val="32"/>
          <w:szCs w:val="32"/>
          <w:lang w:val="en-US" w:eastAsia="zh-Hans"/>
        </w:rPr>
        <w:t xml:space="preserve">2.2绩效评价工作开展情况</w:t>
      </w:r>
      <w:bookmarkEnd w:id="129"/>
      <w:r/>
      <w:bookmarkEnd w:id="130"/>
      <w:r/>
      <w:bookmarkEnd w:id="131"/>
      <w:r/>
      <w:bookmarkEnd w:id="132"/>
      <w:r/>
      <w:bookmarkEnd w:id="136"/>
      <w:r/>
      <w:bookmarkEnd w:id="137"/>
      <w:r/>
      <w:r>
        <w:rPr>
          <w:rFonts w:hint="default" w:ascii="Times New Roman" w:hAnsi="Times New Roman" w:eastAsia="楷体_GB2312" w:cs="Times New Roman"/>
          <w:color w:val="auto"/>
          <w:sz w:val="32"/>
          <w:szCs w:val="32"/>
          <w:lang w:val="en-US" w:eastAsia="zh-Hans"/>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38" w:name="_Toc1623369892"/>
      <w:r/>
      <w:bookmarkStart w:id="139" w:name="_Toc1598588358"/>
      <w:r/>
      <w:bookmarkStart w:id="140" w:name="_Toc12121"/>
      <w:r/>
      <w:bookmarkStart w:id="141" w:name="_Toc1536238652"/>
      <w:r/>
      <w:bookmarkStart w:id="142" w:name="_Toc1903393381"/>
      <w:r/>
      <w:bookmarkStart w:id="143" w:name="_Toc19326"/>
      <w:r/>
      <w:bookmarkStart w:id="144" w:name="_Toc7973"/>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.2</w:t>
      </w:r>
      <w:r>
        <w:rPr>
          <w:rFonts w:hint="default" w:ascii="Times New Roman" w:hAnsi="Times New Roman" w:eastAsia="楷体_GB2312" w:cs="Times New Roman"/>
          <w:color w:val="auto"/>
          <w:sz w:val="32"/>
          <w:szCs w:val="32"/>
          <w:lang w:val="en-US" w:eastAsia="zh-CN"/>
        </w:rPr>
        <w:t xml:space="preserve">.1</w:t>
      </w:r>
      <w:bookmarkEnd w:id="138"/>
      <w:r/>
      <w:bookmarkEnd w:id="139"/>
      <w:r/>
      <w:bookmarkEnd w:id="140"/>
      <w:r/>
      <w:bookmarkEnd w:id="141"/>
      <w:r/>
      <w:bookmarkEnd w:id="142"/>
      <w:r>
        <w:rPr>
          <w:rFonts w:hint="default" w:ascii="Times New Roman" w:hAnsi="Times New Roman" w:eastAsia="楷体_GB2312" w:cs="Times New Roman"/>
          <w:color w:val="auto"/>
          <w:sz w:val="32"/>
          <w:szCs w:val="32"/>
          <w:lang w:val="en-US" w:eastAsia="zh-CN"/>
        </w:rPr>
        <w:t xml:space="preserve">评价目的、对象、范围</w:t>
      </w:r>
      <w:r>
        <w:rPr>
          <w:rFonts w:hint="default" w:ascii="Times New Roman" w:hAnsi="Times New Roman" w:eastAsia="楷体_GB2312" w:cs="Times New Roman"/>
          <w:color w:val="auto"/>
          <w:sz w:val="32"/>
          <w:szCs w:val="32"/>
          <w:lang w:val="en-US" w:eastAsia="zh-Hans"/>
        </w:rPr>
        <w:t xml:space="preserve">和</w:t>
      </w:r>
      <w:r>
        <w:rPr>
          <w:rFonts w:hint="default" w:ascii="Times New Roman" w:hAnsi="Times New Roman" w:eastAsia="楷体_GB2312" w:cs="Times New Roman"/>
          <w:color w:val="auto"/>
          <w:sz w:val="32"/>
          <w:szCs w:val="32"/>
          <w:lang w:val="en-US" w:eastAsia="zh-CN"/>
        </w:rPr>
        <w:t xml:space="preserve">绩效评价原则</w:t>
      </w:r>
      <w:bookmarkEnd w:id="143"/>
      <w:r/>
      <w:bookmarkEnd w:id="144"/>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45" w:name="_Toc198039709"/>
      <w:r/>
      <w:bookmarkStart w:id="146" w:name="_Toc27040"/>
      <w:r/>
      <w:bookmarkStart w:id="147" w:name="_Toc1671749664"/>
      <w:r/>
      <w:bookmarkStart w:id="148" w:name="_Toc1104946559"/>
      <w:r/>
      <w:bookmarkStart w:id="149" w:name="_Toc27713"/>
      <w:r/>
      <w:bookmarkStart w:id="150" w:name="_Toc306625289"/>
      <w:r/>
      <w:bookmarkStart w:id="151" w:name="_Toc253064223"/>
      <w:r/>
      <w:bookmarkStart w:id="152" w:name="_Toc122022604"/>
      <w:r/>
      <w:bookmarkStart w:id="153" w:name="_Toc1644091178"/>
      <w:r/>
      <w:bookmarkStart w:id="154" w:name="_Toc1859671579"/>
      <w:r/>
      <w:bookmarkStart w:id="155" w:name="_Toc367136283"/>
      <w:r/>
      <w:bookmarkStart w:id="156" w:name="_Toc104313374"/>
      <w:r/>
      <w:bookmarkStart w:id="157" w:name="_Toc16320"/>
      <w:r/>
      <w:bookmarkStart w:id="158" w:name="_Toc1416148755"/>
      <w:r/>
      <w:bookmarkStart w:id="159" w:name="_Toc14057"/>
      <w:r>
        <w:rPr>
          <w:rFonts w:hint="default" w:ascii="Times New Roman" w:hAnsi="Times New Roman" w:eastAsia="楷体_GB2312" w:cs="Times New Roman"/>
          <w:color w:val="auto"/>
          <w:sz w:val="32"/>
          <w:szCs w:val="32"/>
          <w:lang w:val="en-US" w:eastAsia="zh-CN"/>
        </w:rPr>
        <w:t xml:space="preserve">2.2.1</w:t>
      </w:r>
      <w:r>
        <w:rPr>
          <w:rFonts w:hint="default" w:ascii="Times New Roman" w:hAnsi="Times New Roman" w:eastAsia="楷体_GB2312" w:cs="Times New Roman"/>
          <w:color w:val="auto"/>
          <w:sz w:val="32"/>
          <w:szCs w:val="32"/>
          <w:lang w:val="en-US" w:eastAsia="zh-Hans"/>
        </w:rPr>
        <w:t xml:space="preserve">.1</w:t>
      </w:r>
      <w:r>
        <w:rPr>
          <w:rFonts w:hint="default" w:ascii="Times New Roman" w:hAnsi="Times New Roman" w:eastAsia="楷体_GB2312" w:cs="Times New Roman"/>
          <w:color w:val="auto"/>
          <w:sz w:val="32"/>
          <w:szCs w:val="32"/>
          <w:lang w:val="en-US" w:eastAsia="zh-CN"/>
        </w:rPr>
        <w:t xml:space="preserve">评价目的</w:t>
      </w:r>
      <w:bookmarkEnd w:id="145"/>
      <w:r/>
      <w:bookmarkEnd w:id="146"/>
      <w:r/>
      <w:bookmarkEnd w:id="147"/>
      <w:r/>
      <w:bookmarkEnd w:id="148"/>
      <w:r/>
      <w:bookmarkEnd w:id="149"/>
      <w:r/>
      <w:bookmarkEnd w:id="150"/>
      <w:r/>
      <w:bookmarkEnd w:id="151"/>
      <w:r/>
      <w:bookmarkEnd w:id="152"/>
      <w:r/>
      <w:bookmarkEnd w:id="153"/>
      <w:r/>
      <w:bookmarkEnd w:id="154"/>
      <w:r/>
      <w:bookmarkEnd w:id="155"/>
      <w:r/>
      <w:bookmarkEnd w:id="156"/>
      <w:r/>
      <w:bookmarkEnd w:id="157"/>
      <w:r/>
      <w:bookmarkEnd w:id="158"/>
      <w:r/>
      <w:bookmarkEnd w:id="159"/>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bookmarkStart w:id="160" w:name="_Toc22632"/>
      <w:r/>
      <w:bookmarkStart w:id="161" w:name="_Toc22350"/>
      <w:r/>
      <w:bookmarkStart w:id="162" w:name="_Toc210"/>
      <w:r/>
      <w:bookmarkStart w:id="163" w:name="_Toc848220866"/>
      <w:r/>
      <w:bookmarkStart w:id="164" w:name="_Toc1568049147"/>
      <w:r>
        <w:rPr>
          <w:rFonts w:hint="default" w:ascii="Times New Roman" w:hAnsi="Times New Roman" w:eastAsia="仿宋_GB2312" w:cs="Times New Roman"/>
          <w:color w:val="auto"/>
          <w:sz w:val="32"/>
          <w:szCs w:val="32"/>
          <w:lang w:val="en-US" w:eastAsia="zh-CN"/>
        </w:rPr>
        <w:t xml:space="preserve">按照中共中央、国务院《关于全面实施预算绩效管理的意见》（中发〔2018〕34号）、财政部《项目支出绩效评价管理办法》（财</w:t>
      </w:r>
      <w:r>
        <w:rPr>
          <w:rFonts w:hint="default" w:ascii="Times New Roman" w:hAnsi="Times New Roman" w:eastAsia="仿宋_GB2312" w:cs="Times New Roman"/>
          <w:color w:val="auto"/>
          <w:sz w:val="32"/>
          <w:szCs w:val="32"/>
          <w:lang w:val="en-US" w:eastAsia="zh-CN"/>
        </w:rPr>
        <w:t xml:space="preserve">预〔2020〕10号）、《湖北省财政厅关于印发全面实施预算绩效管理系列制度的通知》（鄂财绩发〔2020〕3号）等文件的相关要求，结合评价项目特点，运用科学、规范的绩效评价方法，全面了解项目资金使用情况、项目实施情况以及取得的综合绩效，科学、客观、公正地对项目的分配、管理、使用、产出及效果等进行整体综合性评价。通过绩效评价，总结以前年度及近期的项目实施经验，发现项目管理、资金管理、事权划分等存在的问题，并分析问题成因，提出相应的项目管理建议、资金管理建议及政策调整建议，优化财政支出结构，提高财政资金使用效益。</w:t>
      </w:r>
      <w:bookmarkEnd w:id="133"/>
      <w:r/>
      <w:bookmarkEnd w:id="134"/>
      <w:r/>
      <w:bookmarkEnd w:id="135"/>
      <w:r/>
      <w:bookmarkEnd w:id="160"/>
      <w:r/>
      <w:bookmarkEnd w:id="161"/>
      <w:r/>
      <w:bookmarkEnd w:id="162"/>
      <w:r/>
      <w:bookmarkEnd w:id="163"/>
      <w:r/>
      <w:bookmarkEnd w:id="164"/>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165" w:name="_Toc931212195"/>
      <w:r/>
      <w:bookmarkStart w:id="166" w:name="_Toc614988406"/>
      <w:r/>
      <w:bookmarkStart w:id="167" w:name="_Toc652446597"/>
      <w:r/>
      <w:bookmarkStart w:id="168" w:name="_Toc325534851"/>
      <w:r/>
      <w:bookmarkStart w:id="169" w:name="_Toc27475"/>
      <w:r/>
      <w:bookmarkStart w:id="170" w:name="_Toc259383342"/>
      <w:r/>
      <w:bookmarkStart w:id="171" w:name="_Toc282697645"/>
      <w:r/>
      <w:bookmarkStart w:id="172" w:name="_Toc374455529"/>
      <w:r/>
      <w:bookmarkStart w:id="173" w:name="_Toc24088"/>
      <w:r/>
      <w:bookmarkStart w:id="174" w:name="_Toc568342697"/>
      <w:r/>
      <w:bookmarkStart w:id="175" w:name="_Toc1316243249"/>
      <w:r/>
      <w:bookmarkStart w:id="176" w:name="_Toc1051646076"/>
      <w:r/>
      <w:bookmarkStart w:id="177" w:name="_Toc19408"/>
      <w:r/>
      <w:bookmarkStart w:id="178" w:name="_Toc1963656117"/>
      <w:r/>
      <w:bookmarkStart w:id="179" w:name="_Toc1545721504"/>
      <w:r/>
      <w:bookmarkStart w:id="180" w:name="_Toc11045"/>
      <w:r>
        <w:rPr>
          <w:rFonts w:hint="default" w:ascii="Times New Roman" w:hAnsi="Times New Roman" w:eastAsia="楷体_GB2312" w:cs="Times New Roman"/>
          <w:color w:val="auto"/>
          <w:sz w:val="32"/>
          <w:szCs w:val="32"/>
          <w:lang w:val="en-US" w:eastAsia="zh-CN"/>
        </w:rPr>
        <w:t xml:space="preserve">2.2.1</w:t>
      </w:r>
      <w:r>
        <w:rPr>
          <w:rFonts w:hint="default" w:ascii="Times New Roman" w:hAnsi="Times New Roman" w:eastAsia="楷体_GB2312" w:cs="Times New Roman"/>
          <w:color w:val="auto"/>
          <w:sz w:val="32"/>
          <w:szCs w:val="32"/>
          <w:lang w:val="en-US" w:eastAsia="zh-Hans"/>
        </w:rPr>
        <w:t xml:space="preserve">.2</w:t>
      </w:r>
      <w:r>
        <w:rPr>
          <w:rFonts w:hint="default" w:ascii="Times New Roman" w:hAnsi="Times New Roman" w:eastAsia="楷体_GB2312" w:cs="Times New Roman"/>
          <w:color w:val="auto"/>
          <w:sz w:val="32"/>
          <w:szCs w:val="32"/>
          <w:lang w:val="en-US" w:eastAsia="zh-CN"/>
        </w:rPr>
        <w:t xml:space="preserve">评价对象</w:t>
      </w:r>
      <w:bookmarkEnd w:id="165"/>
      <w:r/>
      <w:bookmarkEnd w:id="166"/>
      <w:r/>
      <w:bookmarkEnd w:id="167"/>
      <w:r/>
      <w:bookmarkEnd w:id="168"/>
      <w:r/>
      <w:bookmarkEnd w:id="169"/>
      <w:r/>
      <w:bookmarkEnd w:id="170"/>
      <w:r/>
      <w:bookmarkEnd w:id="171"/>
      <w:r/>
      <w:bookmarkEnd w:id="172"/>
      <w:r/>
      <w:bookmarkEnd w:id="173"/>
      <w:r/>
      <w:bookmarkEnd w:id="174"/>
      <w:r/>
      <w:bookmarkEnd w:id="175"/>
      <w:r/>
      <w:bookmarkEnd w:id="176"/>
      <w:r/>
      <w:bookmarkEnd w:id="177"/>
      <w:r/>
      <w:bookmarkEnd w:id="178"/>
      <w:r/>
      <w:bookmarkEnd w:id="179"/>
      <w:r/>
      <w:bookmarkEnd w:id="180"/>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评价对象为福彩公益金市县分成资金</w:t>
      </w:r>
      <w:r>
        <w:rPr>
          <w:rFonts w:hint="default" w:ascii="Times New Roman" w:hAnsi="Times New Roman" w:eastAsia="仿宋_GB2312" w:cs="Times New Roman"/>
          <w:color w:val="auto"/>
          <w:sz w:val="32"/>
          <w:szCs w:val="32"/>
          <w:lang w:eastAsia="zh-CN"/>
        </w:rPr>
        <w:t xml:space="preserve">项目</w:t>
      </w:r>
      <w:r>
        <w:rPr>
          <w:rFonts w:hint="default" w:ascii="Times New Roman" w:hAnsi="Times New Roman" w:eastAsia="仿宋_GB2312" w:cs="Times New Roman"/>
          <w:color w:val="auto"/>
          <w:sz w:val="32"/>
          <w:szCs w:val="32"/>
          <w:lang w:val="en-US" w:eastAsia="zh-CN"/>
        </w:rPr>
        <w:t xml:space="preserve">，项目当年使用资金409.26万元。</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181" w:name="_Toc8455"/>
      <w:r/>
      <w:bookmarkStart w:id="182" w:name="_Toc1225184522"/>
      <w:r/>
      <w:bookmarkStart w:id="183" w:name="_Toc19829"/>
      <w:r/>
      <w:bookmarkStart w:id="184" w:name="_Toc1065492351"/>
      <w:r/>
      <w:bookmarkStart w:id="185" w:name="_Toc8356"/>
      <w:r/>
      <w:bookmarkStart w:id="186" w:name="_Toc1549384307"/>
      <w:r/>
      <w:bookmarkStart w:id="187" w:name="_Toc581327526"/>
      <w:r/>
      <w:bookmarkStart w:id="188" w:name="_Toc1763909463"/>
      <w:r/>
      <w:bookmarkStart w:id="189" w:name="_Toc1313430375"/>
      <w:r/>
      <w:bookmarkStart w:id="190" w:name="_Toc906759531"/>
      <w:r>
        <w:rPr>
          <w:rFonts w:hint="default" w:ascii="Times New Roman" w:hAnsi="Times New Roman" w:eastAsia="楷体_GB2312" w:cs="Times New Roman"/>
          <w:color w:val="auto"/>
          <w:sz w:val="32"/>
          <w:szCs w:val="32"/>
          <w:lang w:val="en-US" w:eastAsia="zh-CN"/>
        </w:rPr>
        <w:t xml:space="preserve">2.2.1</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评价</w:t>
      </w:r>
      <w:r>
        <w:rPr>
          <w:rFonts w:hint="default" w:ascii="Times New Roman" w:hAnsi="Times New Roman" w:eastAsia="楷体_GB2312" w:cs="Times New Roman"/>
          <w:color w:val="auto"/>
          <w:sz w:val="32"/>
          <w:szCs w:val="32"/>
          <w:lang w:val="en-US" w:eastAsia="zh-Hans"/>
        </w:rPr>
        <w:t xml:space="preserve">范围</w:t>
      </w:r>
      <w:bookmarkEnd w:id="181"/>
      <w:r/>
      <w:bookmarkEnd w:id="182"/>
      <w:r/>
      <w:bookmarkEnd w:id="183"/>
      <w:r/>
      <w:bookmarkEnd w:id="184"/>
      <w:r/>
      <w:bookmarkEnd w:id="185"/>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bookmarkStart w:id="191" w:name="_Toc16667"/>
      <w:r/>
      <w:bookmarkStart w:id="192" w:name="_Toc6652"/>
      <w:r/>
      <w:bookmarkStart w:id="193" w:name="_Toc1603053818"/>
      <w:r/>
      <w:bookmarkStart w:id="194" w:name="_Toc14582"/>
      <w:r/>
      <w:bookmarkStart w:id="195" w:name="_Toc2011294571"/>
      <w:r>
        <w:rPr>
          <w:rFonts w:hint="default" w:ascii="Times New Roman" w:hAnsi="Times New Roman" w:eastAsia="仿宋_GB2312" w:cs="Times New Roman"/>
          <w:color w:val="auto"/>
          <w:sz w:val="32"/>
          <w:szCs w:val="32"/>
          <w:lang w:val="en-US" w:eastAsia="zh-CN"/>
        </w:rPr>
        <w:t xml:space="preserve">从项目决策、过程、产出和效果等多个维度展开评价，评价的主要内容有项目决策、项目过程、项目产出和项目效果，并深入分析评价结果，评价福彩公益金市县分成资金项目支出</w:t>
      </w:r>
      <w:r>
        <w:rPr>
          <w:rFonts w:hint="default" w:ascii="Times New Roman" w:hAnsi="Times New Roman" w:eastAsia="仿宋_GB2312" w:cs="Times New Roman"/>
          <w:color w:val="auto"/>
          <w:sz w:val="32"/>
          <w:szCs w:val="32"/>
          <w:lang w:val="en-US" w:eastAsia="zh-Hans"/>
        </w:rPr>
        <w:t xml:space="preserve">绩效</w:t>
      </w:r>
      <w:r>
        <w:rPr>
          <w:rFonts w:hint="default" w:ascii="Times New Roman" w:hAnsi="Times New Roman" w:eastAsia="仿宋_GB2312" w:cs="Times New Roman"/>
          <w:color w:val="auto"/>
          <w:sz w:val="32"/>
          <w:szCs w:val="32"/>
          <w:lang w:val="en-US" w:eastAsia="zh-CN"/>
        </w:rPr>
        <w:t xml:space="preserve">完成情况。</w:t>
      </w:r>
      <w:bookmarkEnd w:id="186"/>
      <w:r/>
      <w:bookmarkEnd w:id="187"/>
      <w:r/>
      <w:bookmarkEnd w:id="188"/>
      <w:r/>
      <w:bookmarkEnd w:id="189"/>
      <w:r/>
      <w:bookmarkEnd w:id="190"/>
      <w:r/>
      <w:bookmarkEnd w:id="191"/>
      <w:r/>
      <w:bookmarkEnd w:id="192"/>
      <w:r/>
      <w:bookmarkEnd w:id="193"/>
      <w:r/>
      <w:bookmarkEnd w:id="194"/>
      <w:r/>
      <w:bookmarkEnd w:id="195"/>
      <w:r/>
      <w:bookmarkStart w:id="196" w:name="_Toc1421290374"/>
      <w:r/>
      <w:bookmarkStart w:id="197" w:name="_Toc303306294"/>
      <w:r/>
      <w:bookmarkStart w:id="198" w:name="_Toc1363478405"/>
      <w:r/>
      <w:bookmarkStart w:id="199" w:name="_Toc287767370"/>
      <w:r/>
      <w:bookmarkStart w:id="200" w:name="_Toc2074539777"/>
      <w:r/>
      <w:bookmarkStart w:id="201" w:name="_Toc11601"/>
      <w:r/>
      <w:bookmarkStart w:id="202" w:name="_Toc1369571887"/>
      <w:r/>
      <w:bookmarkStart w:id="203" w:name="_Toc2095014468"/>
      <w:r/>
      <w:bookmarkStart w:id="204" w:name="_Toc195683864"/>
      <w:r/>
      <w:bookmarkStart w:id="205" w:name="_Toc115344227"/>
      <w:r/>
      <w:bookmarkStart w:id="206" w:name="_Toc1468619279"/>
      <w:r/>
      <w:bookmarkStart w:id="207" w:name="_Toc531893789"/>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208" w:name="_Toc15187"/>
      <w:r/>
      <w:bookmarkStart w:id="209" w:name="_Toc13246"/>
      <w:r/>
      <w:bookmarkStart w:id="210" w:name="_Toc16018"/>
      <w:r>
        <w:rPr>
          <w:rFonts w:hint="default" w:ascii="Times New Roman" w:hAnsi="Times New Roman" w:eastAsia="楷体_GB2312" w:cs="Times New Roman"/>
          <w:color w:val="auto"/>
          <w:sz w:val="32"/>
          <w:szCs w:val="32"/>
          <w:lang w:val="en-US" w:eastAsia="zh-CN"/>
        </w:rPr>
        <w:t xml:space="preserve">2.2.1</w:t>
      </w:r>
      <w:r>
        <w:rPr>
          <w:rFonts w:hint="default" w:ascii="Times New Roman" w:hAnsi="Times New Roman" w:eastAsia="楷体_GB2312" w:cs="Times New Roman"/>
          <w:color w:val="auto"/>
          <w:sz w:val="32"/>
          <w:szCs w:val="32"/>
          <w:lang w:val="en-US" w:eastAsia="zh-Hans"/>
        </w:rPr>
        <w:t xml:space="preserve">.4绩效评价原则</w:t>
      </w:r>
      <w:bookmarkEnd w:id="196"/>
      <w:r/>
      <w:bookmarkEnd w:id="197"/>
      <w:r/>
      <w:bookmarkEnd w:id="198"/>
      <w:r/>
      <w:bookmarkEnd w:id="199"/>
      <w:r/>
      <w:bookmarkEnd w:id="200"/>
      <w:r/>
      <w:bookmarkEnd w:id="201"/>
      <w:r/>
      <w:bookmarkEnd w:id="202"/>
      <w:r/>
      <w:bookmarkEnd w:id="203"/>
      <w:r/>
      <w:bookmarkEnd w:id="204"/>
      <w:r/>
      <w:bookmarkEnd w:id="205"/>
      <w:r/>
      <w:bookmarkEnd w:id="206"/>
      <w:r/>
      <w:bookmarkEnd w:id="207"/>
      <w:r/>
      <w:bookmarkEnd w:id="208"/>
      <w:r/>
      <w:bookmarkEnd w:id="209"/>
      <w:r/>
      <w:bookmarkEnd w:id="210"/>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b/>
          <w:bCs/>
          <w:color w:val="auto"/>
          <w:sz w:val="32"/>
          <w:szCs w:val="32"/>
          <w:lang w:eastAsia="zh-Hans"/>
        </w:rPr>
      </w:pPr>
      <w:r>
        <w:rPr>
          <w:rFonts w:hint="default" w:ascii="Times New Roman" w:hAnsi="Times New Roman" w:eastAsia="仿宋_GB2312" w:cs="Times New Roman"/>
          <w:color w:val="auto"/>
          <w:sz w:val="32"/>
          <w:szCs w:val="32"/>
          <w:lang w:eastAsia="zh-Hans"/>
        </w:rPr>
        <w:t xml:space="preserve">1、</w:t>
      </w:r>
      <w:r>
        <w:rPr>
          <w:rFonts w:hint="default" w:ascii="Times New Roman" w:hAnsi="Times New Roman" w:eastAsia="仿宋_GB2312" w:cs="Times New Roman"/>
          <w:b/>
          <w:bCs/>
          <w:color w:val="auto"/>
          <w:sz w:val="32"/>
          <w:szCs w:val="32"/>
          <w:lang w:eastAsia="zh-Hans"/>
        </w:rPr>
        <w:t xml:space="preserve">独立</w:t>
      </w:r>
      <w:r>
        <w:rPr>
          <w:rFonts w:hint="default" w:ascii="Times New Roman" w:hAnsi="Times New Roman" w:eastAsia="仿宋_GB2312" w:cs="Times New Roman"/>
          <w:b/>
          <w:bCs/>
          <w:color w:val="auto"/>
          <w:sz w:val="32"/>
          <w:szCs w:val="32"/>
          <w:lang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eastAsia="zh-Hans"/>
        </w:rPr>
        <w:t xml:space="preserve">严格遵循独立完成、独立执业的工作原则。</w:t>
      </w:r>
      <w:r>
        <w:rPr>
          <w:rFonts w:hint="default" w:ascii="Times New Roman" w:hAnsi="Times New Roman" w:eastAsia="仿宋_GB2312" w:cs="Times New Roman"/>
          <w:color w:val="auto"/>
          <w:sz w:val="32"/>
          <w:szCs w:val="32"/>
          <w:lang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b/>
          <w:bCs/>
          <w:color w:val="auto"/>
          <w:sz w:val="32"/>
          <w:szCs w:val="32"/>
          <w:lang w:eastAsia="zh-Hans"/>
        </w:rPr>
      </w:pPr>
      <w:r>
        <w:rPr>
          <w:rFonts w:hint="default" w:ascii="Times New Roman" w:hAnsi="Times New Roman" w:eastAsia="仿宋_GB2312" w:cs="Times New Roman"/>
          <w:color w:val="auto"/>
          <w:sz w:val="32"/>
          <w:szCs w:val="32"/>
          <w:lang w:eastAsia="zh-Hans"/>
        </w:rPr>
        <w:t xml:space="preserve">2</w:t>
      </w:r>
      <w:r>
        <w:rPr>
          <w:rFonts w:hint="default" w:ascii="Times New Roman" w:hAnsi="Times New Roman" w:eastAsia="仿宋_GB2312" w:cs="Times New Roman"/>
          <w:b/>
          <w:bCs/>
          <w:color w:val="auto"/>
          <w:sz w:val="32"/>
          <w:szCs w:val="32"/>
          <w:lang w:eastAsia="zh-Hans"/>
        </w:rPr>
        <w:t xml:space="preserve">、客观</w:t>
      </w:r>
      <w:r>
        <w:rPr>
          <w:rFonts w:hint="default" w:ascii="Times New Roman" w:hAnsi="Times New Roman" w:eastAsia="仿宋_GB2312" w:cs="Times New Roman"/>
          <w:b/>
          <w:bCs/>
          <w:color w:val="auto"/>
          <w:sz w:val="32"/>
          <w:szCs w:val="32"/>
          <w:lang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eastAsia="zh-Hans"/>
        </w:rPr>
        <w:t xml:space="preserve">按照服务合同约定完成委托事项，准确反映被评价部门、项目的真实情况。</w:t>
      </w:r>
      <w:r>
        <w:rPr>
          <w:rFonts w:hint="default" w:ascii="Times New Roman" w:hAnsi="Times New Roman" w:eastAsia="仿宋_GB2312" w:cs="Times New Roman"/>
          <w:color w:val="auto"/>
          <w:sz w:val="32"/>
          <w:szCs w:val="32"/>
          <w:lang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b/>
          <w:bCs/>
          <w:color w:val="auto"/>
          <w:sz w:val="32"/>
          <w:szCs w:val="32"/>
          <w:lang w:eastAsia="zh-Hans"/>
        </w:rPr>
      </w:pPr>
      <w:r>
        <w:rPr>
          <w:rFonts w:hint="default" w:ascii="Times New Roman" w:hAnsi="Times New Roman" w:eastAsia="仿宋_GB2312" w:cs="Times New Roman"/>
          <w:color w:val="auto"/>
          <w:sz w:val="32"/>
          <w:szCs w:val="32"/>
          <w:lang w:eastAsia="zh-Hans"/>
        </w:rPr>
        <w:t xml:space="preserve">3、</w:t>
      </w:r>
      <w:r>
        <w:rPr>
          <w:rFonts w:hint="default" w:ascii="Times New Roman" w:hAnsi="Times New Roman" w:eastAsia="仿宋_GB2312" w:cs="Times New Roman"/>
          <w:b/>
          <w:bCs/>
          <w:color w:val="auto"/>
          <w:sz w:val="32"/>
          <w:szCs w:val="32"/>
          <w:lang w:eastAsia="zh-Hans"/>
        </w:rPr>
        <w:t xml:space="preserve">公正</w:t>
      </w:r>
      <w:r>
        <w:rPr>
          <w:rFonts w:hint="default" w:ascii="Times New Roman" w:hAnsi="Times New Roman" w:eastAsia="仿宋_GB2312" w:cs="Times New Roman"/>
          <w:b/>
          <w:bCs/>
          <w:color w:val="auto"/>
          <w:sz w:val="32"/>
          <w:szCs w:val="32"/>
          <w:lang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eastAsia="zh-Hans"/>
        </w:rPr>
        <w:t xml:space="preserve">选择两种以上方法进行分析，形成结论并编制报告，对报告的真实性和准确性负责。</w:t>
      </w:r>
      <w:r>
        <w:rPr>
          <w:rFonts w:hint="default" w:ascii="Times New Roman" w:hAnsi="Times New Roman" w:eastAsia="仿宋_GB2312" w:cs="Times New Roman"/>
          <w:color w:val="auto"/>
          <w:sz w:val="32"/>
          <w:szCs w:val="32"/>
          <w:lang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b/>
          <w:bCs/>
          <w:color w:val="auto"/>
          <w:sz w:val="32"/>
          <w:szCs w:val="32"/>
          <w:lang w:eastAsia="zh-Hans"/>
        </w:rPr>
      </w:pPr>
      <w:r>
        <w:rPr>
          <w:rFonts w:hint="default" w:ascii="Times New Roman" w:hAnsi="Times New Roman" w:eastAsia="仿宋_GB2312" w:cs="Times New Roman"/>
          <w:color w:val="auto"/>
          <w:sz w:val="32"/>
          <w:szCs w:val="32"/>
          <w:lang w:eastAsia="zh-Hans"/>
        </w:rPr>
        <w:t xml:space="preserve">4、</w:t>
      </w:r>
      <w:r>
        <w:rPr>
          <w:rFonts w:hint="default" w:ascii="Times New Roman" w:hAnsi="Times New Roman" w:eastAsia="仿宋_GB2312" w:cs="Times New Roman"/>
          <w:b/>
          <w:bCs/>
          <w:color w:val="auto"/>
          <w:sz w:val="32"/>
          <w:szCs w:val="32"/>
          <w:lang w:eastAsia="zh-Hans"/>
        </w:rPr>
        <w:t xml:space="preserve">高效</w:t>
      </w:r>
      <w:r>
        <w:rPr>
          <w:rFonts w:hint="default" w:ascii="Times New Roman" w:hAnsi="Times New Roman" w:eastAsia="仿宋_GB2312" w:cs="Times New Roman"/>
          <w:b/>
          <w:bCs/>
          <w:color w:val="auto"/>
          <w:sz w:val="32"/>
          <w:szCs w:val="32"/>
          <w:lang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Hans"/>
        </w:rPr>
        <w:t xml:space="preserve">合理选取具有代表性的样本，把握工作进度和工作重点，按照规定的时间完成委托事项。</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11" w:name="_Toc7704"/>
      <w:r/>
      <w:bookmarkStart w:id="212" w:name="_Toc23365"/>
      <w:r/>
      <w:bookmarkStart w:id="213" w:name="_Toc245539347"/>
      <w:r/>
      <w:bookmarkStart w:id="214" w:name="_Toc1711972909"/>
      <w:r/>
      <w:bookmarkStart w:id="215" w:name="_Toc1166710237"/>
      <w:r/>
      <w:bookmarkStart w:id="216" w:name="_Toc1690188927"/>
      <w:r>
        <w:rPr>
          <w:rFonts w:hint="default" w:ascii="Times New Roman" w:hAnsi="Times New Roman" w:eastAsia="楷体_GB2312" w:cs="Times New Roman"/>
          <w:color w:val="auto"/>
          <w:sz w:val="32"/>
          <w:szCs w:val="32"/>
          <w:lang w:val="en-US" w:eastAsia="zh-CN"/>
        </w:rPr>
        <w:t xml:space="preserve">2.2</w:t>
      </w:r>
      <w:r>
        <w:rPr>
          <w:rFonts w:hint="default" w:ascii="Times New Roman" w:hAnsi="Times New Roman" w:eastAsia="楷体_GB2312" w:cs="Times New Roman"/>
          <w:color w:val="auto"/>
          <w:sz w:val="32"/>
          <w:szCs w:val="32"/>
          <w:lang w:val="en-US" w:eastAsia="zh-Hans"/>
        </w:rPr>
        <w:t xml:space="preserve">.2</w:t>
      </w:r>
      <w:r>
        <w:rPr>
          <w:rFonts w:hint="default" w:ascii="Times New Roman" w:hAnsi="Times New Roman" w:eastAsia="楷体_GB2312" w:cs="Times New Roman"/>
          <w:color w:val="auto"/>
          <w:sz w:val="32"/>
          <w:szCs w:val="32"/>
          <w:lang w:val="en-US" w:eastAsia="zh-CN"/>
        </w:rPr>
        <w:t xml:space="preserve">评价抽样情况、评价方法和时间安排</w:t>
      </w:r>
      <w:bookmarkEnd w:id="211"/>
      <w:r/>
      <w:bookmarkEnd w:id="212"/>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2.2.2.1评价抽样情况</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本次绩效评价工作，评价小组实地走访了项目单位，与相关分管领导、实施人员和财务人员进行面访、座谈；对项目实施情况和绩效自评等方面的工作情况进行了全面了解，同时收集项目相关执行情况资料；并根据随机抽样原则，抽取项目现场实地察看，开展社会调查工作，收集了53</w:t>
      </w:r>
      <w:r>
        <w:rPr>
          <w:rFonts w:hint="default" w:ascii="Times New Roman" w:hAnsi="Times New Roman" w:eastAsia="仿宋_GB2312" w:cs="Times New Roman"/>
          <w:color w:val="auto"/>
          <w:sz w:val="32"/>
          <w:szCs w:val="32"/>
          <w:lang w:val="en-US" w:eastAsia="zh-Hans"/>
        </w:rPr>
        <w:t xml:space="preserve">份调查问卷</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Hans"/>
        </w:rPr>
        <w:t xml:space="preserve">对</w:t>
      </w:r>
      <w:r>
        <w:rPr>
          <w:rFonts w:hint="default" w:ascii="Times New Roman" w:hAnsi="Times New Roman" w:eastAsia="仿宋_GB2312" w:cs="Times New Roman"/>
          <w:color w:val="auto"/>
          <w:sz w:val="32"/>
          <w:szCs w:val="32"/>
          <w:lang w:val="en-US" w:eastAsia="zh-CN"/>
        </w:rPr>
        <w:t xml:space="preserve">服务对象</w:t>
      </w:r>
      <w:r>
        <w:rPr>
          <w:rFonts w:hint="default" w:ascii="Times New Roman" w:hAnsi="Times New Roman" w:eastAsia="仿宋_GB2312" w:cs="Times New Roman"/>
          <w:color w:val="auto"/>
          <w:sz w:val="32"/>
          <w:szCs w:val="32"/>
          <w:lang w:val="en-US" w:eastAsia="zh-Hans"/>
        </w:rPr>
        <w:t xml:space="preserve">的</w:t>
      </w:r>
      <w:r>
        <w:rPr>
          <w:rFonts w:hint="default" w:ascii="Times New Roman" w:hAnsi="Times New Roman" w:eastAsia="仿宋_GB2312" w:cs="Times New Roman"/>
          <w:color w:val="auto"/>
          <w:sz w:val="32"/>
          <w:szCs w:val="32"/>
          <w:lang w:eastAsia="zh-Hans"/>
        </w:rPr>
        <w:t xml:space="preserve">满意度</w:t>
      </w:r>
      <w:r>
        <w:rPr>
          <w:rFonts w:hint="default" w:ascii="Times New Roman" w:hAnsi="Times New Roman" w:eastAsia="仿宋_GB2312" w:cs="Times New Roman"/>
          <w:color w:val="auto"/>
          <w:sz w:val="32"/>
          <w:szCs w:val="32"/>
          <w:lang w:val="en-US" w:eastAsia="zh-Hans"/>
        </w:rPr>
        <w:t xml:space="preserve">进行</w:t>
      </w:r>
      <w:r>
        <w:rPr>
          <w:rFonts w:hint="default" w:ascii="Times New Roman" w:hAnsi="Times New Roman" w:eastAsia="仿宋_GB2312" w:cs="Times New Roman"/>
          <w:color w:val="auto"/>
          <w:sz w:val="32"/>
          <w:szCs w:val="32"/>
          <w:lang w:eastAsia="zh-Hans"/>
        </w:rPr>
        <w:t xml:space="preserve">调查</w:t>
      </w:r>
      <w:r>
        <w:rPr>
          <w:rFonts w:hint="default" w:ascii="Times New Roman" w:hAnsi="Times New Roman" w:eastAsia="仿宋_GB2312" w:cs="Times New Roman"/>
          <w:color w:val="auto"/>
          <w:sz w:val="32"/>
          <w:szCs w:val="32"/>
          <w:lang w:val="en-US" w:eastAsia="zh-CN"/>
        </w:rPr>
        <w:t xml:space="preserve">。</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2.2.2.2评价方法</w:t>
      </w:r>
      <w:bookmarkEnd w:id="213"/>
      <w:bookmarkEnd w:id="214"/>
      <w:bookmarkEnd w:id="215"/>
      <w:bookmarkEnd w:id="216"/>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本项目绩效评价采用的主要评价方法为因素分析法、公众评判法</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目标比较法等。</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因素分析法</w:t>
      </w:r>
      <w:r>
        <w:rPr>
          <w:rFonts w:hint="default" w:ascii="Times New Roman" w:hAnsi="Times New Roman" w:eastAsia="仿宋_GB2312" w:cs="Times New Roman"/>
          <w:color w:val="auto"/>
          <w:sz w:val="32"/>
          <w:szCs w:val="32"/>
        </w:rPr>
        <w:t xml:space="preserve">是指综合分析影响绩效目标实现、实施效果的内外部因素的方法。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公众评判法</w:t>
      </w:r>
      <w:r>
        <w:rPr>
          <w:rFonts w:hint="default" w:ascii="Times New Roman" w:hAnsi="Times New Roman" w:eastAsia="仿宋_GB2312" w:cs="Times New Roman"/>
          <w:color w:val="auto"/>
          <w:sz w:val="32"/>
          <w:szCs w:val="32"/>
        </w:rPr>
        <w:t xml:space="preserve">是指通过专家评估、公众问卷及抽样调查等方式进行评判的方法。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目标比较法</w:t>
      </w:r>
      <w:r>
        <w:rPr>
          <w:rFonts w:hint="default" w:ascii="Times New Roman" w:hAnsi="Times New Roman" w:eastAsia="仿宋_GB2312" w:cs="Times New Roman"/>
          <w:color w:val="auto"/>
          <w:sz w:val="32"/>
          <w:szCs w:val="32"/>
        </w:rPr>
        <w:t xml:space="preserve">是指通过对项目实际产出与预定目标的比较，分析完成目标或未完成目标的原因，从而评价绩效状况的方法。</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2.2.2.3时间安排</w:t>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2.2.2.3</w:t>
      </w:r>
      <w:r>
        <w:rPr>
          <w:rFonts w:hint="default" w:ascii="Times New Roman" w:hAnsi="Times New Roman" w:eastAsia="楷体_GB2312" w:cs="Times New Roman"/>
          <w:color w:val="auto"/>
          <w:sz w:val="32"/>
          <w:szCs w:val="32"/>
          <w:lang w:val="en-US" w:eastAsia="zh-Hans"/>
        </w:rPr>
        <w:t xml:space="preserve">.1</w:t>
      </w:r>
      <w:r>
        <w:rPr>
          <w:rFonts w:hint="default" w:ascii="Times New Roman" w:hAnsi="Times New Roman" w:eastAsia="楷体_GB2312" w:cs="Times New Roman"/>
          <w:color w:val="auto"/>
          <w:sz w:val="32"/>
          <w:szCs w:val="32"/>
          <w:lang w:val="en-US" w:eastAsia="zh-CN"/>
        </w:rPr>
        <w:t xml:space="preserve">前期准备</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收到委托单位绩效评价工作通知，初步确定被评价单位和评价项目，取得被评价单位联系方式，项目主评人确定小组成员，制订绩效评价工作计划以及人员分工，拟定绩效评价资料清单，与被评价单位电话联系并传送资料清单。评价小组在进场前与委托单位面谈或举行进场</w:t>
      </w:r>
      <w:r>
        <w:rPr>
          <w:rFonts w:hint="default" w:ascii="Times New Roman" w:hAnsi="Times New Roman" w:eastAsia="仿宋_GB2312" w:cs="Times New Roman"/>
          <w:color w:val="auto"/>
          <w:sz w:val="32"/>
          <w:szCs w:val="32"/>
        </w:rPr>
        <w:t xml:space="preserve">会</w:t>
      </w:r>
      <w:r>
        <w:rPr>
          <w:rFonts w:hint="default" w:ascii="Times New Roman" w:hAnsi="Times New Roman" w:eastAsia="仿宋_GB2312" w:cs="Times New Roman"/>
          <w:color w:val="auto"/>
          <w:sz w:val="32"/>
          <w:szCs w:val="32"/>
          <w:lang w:val="en-US" w:eastAsia="zh-CN"/>
        </w:rPr>
        <w:t xml:space="preserve">议明确评价要求</w:t>
      </w:r>
      <w:r>
        <w:rPr>
          <w:rFonts w:hint="default" w:ascii="Times New Roman" w:hAnsi="Times New Roman" w:eastAsia="仿宋_GB2312" w:cs="Times New Roman"/>
          <w:color w:val="auto"/>
          <w:sz w:val="32"/>
          <w:szCs w:val="32"/>
        </w:rPr>
        <w:t xml:space="preserve">。</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2.2.2.3</w:t>
      </w:r>
      <w:r>
        <w:rPr>
          <w:rFonts w:hint="default" w:ascii="Times New Roman" w:hAnsi="Times New Roman" w:eastAsia="楷体_GB2312" w:cs="Times New Roman"/>
          <w:color w:val="auto"/>
          <w:sz w:val="32"/>
          <w:szCs w:val="32"/>
          <w:lang w:val="en-US" w:eastAsia="zh-Hans"/>
        </w:rPr>
        <w:t xml:space="preserve">.2</w:t>
      </w:r>
      <w:r>
        <w:rPr>
          <w:rFonts w:hint="default" w:ascii="Times New Roman" w:hAnsi="Times New Roman" w:eastAsia="楷体_GB2312" w:cs="Times New Roman"/>
          <w:color w:val="auto"/>
          <w:sz w:val="32"/>
          <w:szCs w:val="32"/>
          <w:lang w:val="en-US" w:eastAsia="zh-CN"/>
        </w:rPr>
        <w:t xml:space="preserve">现场实施</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绩效评价小组</w:t>
      </w:r>
      <w:r>
        <w:rPr>
          <w:rFonts w:hint="default" w:ascii="Times New Roman" w:hAnsi="Times New Roman" w:eastAsia="仿宋_GB2312" w:cs="Times New Roman"/>
          <w:color w:val="auto"/>
          <w:sz w:val="32"/>
          <w:szCs w:val="32"/>
          <w:lang w:val="en-US" w:eastAsia="zh-CN"/>
        </w:rPr>
        <w:t xml:space="preserve">前往</w:t>
      </w:r>
      <w:r>
        <w:rPr>
          <w:rFonts w:hint="default" w:ascii="Times New Roman" w:hAnsi="Times New Roman" w:eastAsia="仿宋_GB2312" w:cs="Times New Roman"/>
          <w:color w:val="auto"/>
          <w:sz w:val="32"/>
          <w:szCs w:val="32"/>
        </w:rPr>
        <w:t xml:space="preserve">项目</w:t>
      </w:r>
      <w:r>
        <w:rPr>
          <w:rFonts w:hint="default" w:ascii="Times New Roman" w:hAnsi="Times New Roman" w:eastAsia="仿宋_GB2312" w:cs="Times New Roman"/>
          <w:color w:val="auto"/>
          <w:sz w:val="32"/>
          <w:szCs w:val="32"/>
          <w:lang w:val="en-US" w:eastAsia="zh-CN"/>
        </w:rPr>
        <w:t xml:space="preserve">主管部门和</w:t>
      </w:r>
      <w:r>
        <w:rPr>
          <w:rFonts w:hint="default" w:ascii="Times New Roman" w:hAnsi="Times New Roman" w:eastAsia="仿宋_GB2312" w:cs="Times New Roman"/>
          <w:color w:val="auto"/>
          <w:sz w:val="32"/>
          <w:szCs w:val="32"/>
        </w:rPr>
        <w:t xml:space="preserve">实施单位，</w:t>
      </w:r>
      <w:r>
        <w:rPr>
          <w:rFonts w:hint="default" w:ascii="Times New Roman" w:hAnsi="Times New Roman" w:eastAsia="仿宋_GB2312" w:cs="Times New Roman"/>
          <w:color w:val="auto"/>
          <w:sz w:val="32"/>
          <w:szCs w:val="32"/>
          <w:lang w:val="en-US" w:eastAsia="zh-CN"/>
        </w:rPr>
        <w:t xml:space="preserve">与单位项目相关财务、业务人员对接，</w:t>
      </w:r>
      <w:r>
        <w:rPr>
          <w:rFonts w:hint="default" w:ascii="Times New Roman" w:hAnsi="Times New Roman" w:eastAsia="仿宋_GB2312" w:cs="Times New Roman"/>
          <w:color w:val="auto"/>
          <w:sz w:val="32"/>
          <w:szCs w:val="32"/>
        </w:rPr>
        <w:t xml:space="preserve">查阅项目管理相关</w:t>
      </w:r>
      <w:r>
        <w:rPr>
          <w:rFonts w:hint="default" w:ascii="Times New Roman" w:hAnsi="Times New Roman" w:eastAsia="仿宋_GB2312" w:cs="Times New Roman"/>
          <w:color w:val="auto"/>
          <w:sz w:val="32"/>
          <w:szCs w:val="32"/>
          <w:lang w:val="en-US" w:eastAsia="zh-CN"/>
        </w:rPr>
        <w:t xml:space="preserve">财务资料和业务</w:t>
      </w:r>
      <w:r>
        <w:rPr>
          <w:rFonts w:hint="default" w:ascii="Times New Roman" w:hAnsi="Times New Roman" w:eastAsia="仿宋_GB2312" w:cs="Times New Roman"/>
          <w:color w:val="auto"/>
          <w:sz w:val="32"/>
          <w:szCs w:val="32"/>
        </w:rPr>
        <w:t xml:space="preserve">档案，关注</w:t>
      </w:r>
      <w:r>
        <w:rPr>
          <w:rFonts w:hint="default" w:ascii="Times New Roman" w:hAnsi="Times New Roman" w:eastAsia="仿宋_GB2312" w:cs="Times New Roman"/>
          <w:color w:val="auto"/>
          <w:sz w:val="32"/>
          <w:szCs w:val="32"/>
          <w:lang w:val="en-US" w:eastAsia="zh-CN"/>
        </w:rPr>
        <w:t xml:space="preserve">单位</w:t>
      </w:r>
      <w:r>
        <w:rPr>
          <w:rFonts w:hint="default" w:ascii="Times New Roman" w:hAnsi="Times New Roman" w:eastAsia="仿宋_GB2312" w:cs="Times New Roman"/>
          <w:color w:val="auto"/>
          <w:sz w:val="32"/>
          <w:szCs w:val="32"/>
        </w:rPr>
        <w:t xml:space="preserve">在项目、资金管理等方面的制度建设情况</w:t>
      </w:r>
      <w:r>
        <w:rPr>
          <w:rFonts w:hint="default" w:ascii="Times New Roman" w:hAnsi="Times New Roman" w:eastAsia="仿宋_GB2312" w:cs="Times New Roman"/>
          <w:color w:val="auto"/>
          <w:sz w:val="32"/>
          <w:szCs w:val="32"/>
          <w:lang w:val="en-US" w:eastAsia="zh-CN"/>
        </w:rPr>
        <w:t xml:space="preserve">和执行情况</w:t>
      </w:r>
      <w:r>
        <w:rPr>
          <w:rFonts w:hint="default" w:ascii="Times New Roman" w:hAnsi="Times New Roman" w:eastAsia="仿宋_GB2312" w:cs="Times New Roman"/>
          <w:color w:val="auto"/>
          <w:sz w:val="32"/>
          <w:szCs w:val="32"/>
        </w:rPr>
        <w:t xml:space="preserve">；收集项目立项、实施</w:t>
      </w:r>
      <w:r>
        <w:rPr>
          <w:rFonts w:hint="default" w:ascii="Times New Roman" w:hAnsi="Times New Roman" w:eastAsia="仿宋_GB2312" w:cs="Times New Roman"/>
          <w:color w:val="auto"/>
          <w:sz w:val="32"/>
          <w:szCs w:val="32"/>
          <w:lang w:val="en-US" w:eastAsia="zh-CN"/>
        </w:rPr>
        <w:t xml:space="preserve">过程</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产出、效果</w:t>
      </w:r>
      <w:r>
        <w:rPr>
          <w:rFonts w:hint="default" w:ascii="Times New Roman" w:hAnsi="Times New Roman" w:eastAsia="仿宋_GB2312" w:cs="Times New Roman"/>
          <w:color w:val="auto"/>
          <w:sz w:val="32"/>
          <w:szCs w:val="32"/>
        </w:rPr>
        <w:t xml:space="preserve">等资料，包括绩效自评资料、财务凭证、合同、统计数据等佐证材料，并开展座谈访谈、</w:t>
      </w:r>
      <w:r>
        <w:rPr>
          <w:rFonts w:hint="default" w:ascii="Times New Roman" w:hAnsi="Times New Roman" w:eastAsia="仿宋_GB2312" w:cs="Times New Roman"/>
          <w:color w:val="auto"/>
          <w:sz w:val="32"/>
          <w:szCs w:val="32"/>
          <w:lang w:val="en-US" w:eastAsia="zh-CN"/>
        </w:rPr>
        <w:t xml:space="preserve">项目地点实地走访、问卷</w:t>
      </w:r>
      <w:r>
        <w:rPr>
          <w:rFonts w:hint="default" w:ascii="Times New Roman" w:hAnsi="Times New Roman" w:eastAsia="仿宋_GB2312" w:cs="Times New Roman"/>
          <w:color w:val="auto"/>
          <w:sz w:val="32"/>
          <w:szCs w:val="32"/>
        </w:rPr>
        <w:t xml:space="preserve">调查等工作。</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2.2.2.3</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绩效评价分析阶段</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绩效评价小组根据收集的资料及了解的项目实施情况，完成项目绩效评分表的打分工作，对初步确定的项目绩效评价结果进行逐级复核、汇总、分析，核查评价工作中是否存在遗漏的情况。</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2.2.2.3</w:t>
      </w:r>
      <w:r>
        <w:rPr>
          <w:rFonts w:hint="default" w:ascii="Times New Roman" w:hAnsi="Times New Roman" w:eastAsia="楷体_GB2312" w:cs="Times New Roman"/>
          <w:color w:val="auto"/>
          <w:sz w:val="32"/>
          <w:szCs w:val="32"/>
          <w:lang w:val="en-US" w:eastAsia="zh-Hans"/>
        </w:rPr>
        <w:t xml:space="preserve">.4</w:t>
      </w:r>
      <w:r>
        <w:rPr>
          <w:rFonts w:hint="default" w:ascii="Times New Roman" w:hAnsi="Times New Roman" w:eastAsia="楷体_GB2312" w:cs="Times New Roman"/>
          <w:color w:val="auto"/>
          <w:sz w:val="32"/>
          <w:szCs w:val="32"/>
          <w:lang w:val="en-US" w:eastAsia="zh-CN"/>
        </w:rPr>
        <w:t xml:space="preserve">绩效评价汇总阶段</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归纳整理项目</w:t>
      </w:r>
      <w:r>
        <w:rPr>
          <w:rFonts w:hint="default" w:ascii="Times New Roman" w:hAnsi="Times New Roman" w:eastAsia="仿宋_GB2312" w:cs="Times New Roman"/>
          <w:color w:val="auto"/>
          <w:sz w:val="32"/>
          <w:szCs w:val="32"/>
          <w:lang w:val="en-US" w:eastAsia="zh-CN"/>
        </w:rPr>
        <w:t xml:space="preserve">资料，撰写</w:t>
      </w:r>
      <w:r>
        <w:rPr>
          <w:rFonts w:hint="default" w:ascii="Times New Roman" w:hAnsi="Times New Roman" w:eastAsia="仿宋_GB2312" w:cs="Times New Roman"/>
          <w:color w:val="auto"/>
          <w:sz w:val="32"/>
          <w:szCs w:val="32"/>
        </w:rPr>
        <w:t xml:space="preserve">绩效评价报告初稿，实施绩效评价三级质量复核</w:t>
      </w:r>
      <w:r>
        <w:rPr>
          <w:rFonts w:hint="default" w:ascii="Times New Roman" w:hAnsi="Times New Roman" w:eastAsia="仿宋_GB2312" w:cs="Times New Roman"/>
          <w:color w:val="auto"/>
          <w:sz w:val="32"/>
          <w:szCs w:val="32"/>
          <w:lang w:val="en-US" w:eastAsia="zh-CN"/>
        </w:rPr>
        <w:t xml:space="preserve">后</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发送报告征求意见稿至</w:t>
      </w:r>
      <w:r>
        <w:rPr>
          <w:rFonts w:hint="default" w:ascii="Times New Roman" w:hAnsi="Times New Roman" w:eastAsia="仿宋_GB2312" w:cs="Times New Roman"/>
          <w:color w:val="auto"/>
          <w:sz w:val="32"/>
          <w:szCs w:val="32"/>
        </w:rPr>
        <w:t xml:space="preserve">委托单位</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和</w:t>
      </w:r>
      <w:r>
        <w:rPr>
          <w:rFonts w:hint="default" w:ascii="Times New Roman" w:hAnsi="Times New Roman" w:eastAsia="仿宋_GB2312" w:cs="Times New Roman"/>
          <w:color w:val="auto"/>
          <w:sz w:val="32"/>
          <w:szCs w:val="32"/>
          <w:lang w:val="en-US" w:eastAsia="zh-CN"/>
        </w:rPr>
        <w:t xml:space="preserve">委托</w:t>
      </w:r>
      <w:r>
        <w:rPr>
          <w:rFonts w:hint="default" w:ascii="Times New Roman" w:hAnsi="Times New Roman" w:eastAsia="仿宋_GB2312" w:cs="Times New Roman"/>
          <w:color w:val="auto"/>
          <w:sz w:val="32"/>
          <w:szCs w:val="32"/>
        </w:rPr>
        <w:t xml:space="preserve">单位沟通意见后，</w:t>
      </w:r>
      <w:r>
        <w:rPr>
          <w:rFonts w:hint="default" w:ascii="Times New Roman" w:hAnsi="Times New Roman" w:eastAsia="仿宋_GB2312" w:cs="Times New Roman"/>
          <w:color w:val="auto"/>
          <w:sz w:val="32"/>
          <w:szCs w:val="32"/>
          <w:lang w:val="en-US" w:eastAsia="zh-CN"/>
        </w:rPr>
        <w:t xml:space="preserve">完善报告、报告附件及其他委托单位要求的程序资料</w:t>
      </w:r>
      <w:r>
        <w:rPr>
          <w:rFonts w:hint="default" w:ascii="Times New Roman" w:hAnsi="Times New Roman" w:eastAsia="仿宋_GB2312" w:cs="Times New Roman"/>
          <w:color w:val="auto"/>
          <w:sz w:val="32"/>
          <w:szCs w:val="32"/>
        </w:rPr>
        <w:t xml:space="preserve">。</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2.2.2.3</w:t>
      </w:r>
      <w:r>
        <w:rPr>
          <w:rFonts w:hint="default" w:ascii="Times New Roman" w:hAnsi="Times New Roman" w:eastAsia="楷体_GB2312" w:cs="Times New Roman"/>
          <w:color w:val="auto"/>
          <w:sz w:val="32"/>
          <w:szCs w:val="32"/>
          <w:lang w:val="en-US" w:eastAsia="zh-Hans"/>
        </w:rPr>
        <w:t xml:space="preserve">.5</w:t>
      </w:r>
      <w:r>
        <w:rPr>
          <w:rFonts w:hint="default" w:ascii="Times New Roman" w:hAnsi="Times New Roman" w:eastAsia="楷体_GB2312" w:cs="Times New Roman"/>
          <w:color w:val="auto"/>
          <w:sz w:val="32"/>
          <w:szCs w:val="32"/>
          <w:lang w:val="en-US" w:eastAsia="zh-CN"/>
        </w:rPr>
        <w:t xml:space="preserve">提交绩效评价项目成果</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再次实施绩效评价三级质量复核，</w:t>
      </w:r>
      <w:r>
        <w:rPr>
          <w:rFonts w:hint="default" w:ascii="Times New Roman" w:hAnsi="Times New Roman" w:eastAsia="仿宋_GB2312" w:cs="Times New Roman"/>
          <w:color w:val="auto"/>
          <w:sz w:val="32"/>
          <w:szCs w:val="32"/>
        </w:rPr>
        <w:t xml:space="preserve">出具项目绩效评价正式报告。</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17" w:name="_Toc15928"/>
      <w:r/>
      <w:bookmarkStart w:id="218" w:name="_Toc19463"/>
      <w:r>
        <w:rPr>
          <w:rFonts w:hint="default" w:ascii="Times New Roman" w:hAnsi="Times New Roman" w:eastAsia="楷体_GB2312" w:cs="Times New Roman"/>
          <w:color w:val="auto"/>
          <w:sz w:val="32"/>
          <w:szCs w:val="32"/>
          <w:lang w:val="en-US" w:eastAsia="zh-CN"/>
        </w:rPr>
        <w:t xml:space="preserve">2.2.3评价指标体系和综合评分方法</w:t>
      </w:r>
      <w:bookmarkEnd w:id="217"/>
      <w:r/>
      <w:bookmarkEnd w:id="218"/>
      <w:r/>
      <w:r>
        <w:rPr>
          <w:rFonts w:hint="default" w:ascii="Times New Roman" w:hAnsi="Times New Roman" w:eastAsia="楷体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2.2.3.1评价指标体系</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在明确评价目的、评价对象、范围及项目主要内容的基础上，根据绩效评价专业规范的要求，拟订绩效评价工作计划，组成本项目评价工作组。</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评价指标体系是开展绩效评价工作的核心。评价工作组在参考财政支出绩效评价指标框架的基础上，依据《湖北省财政项目资金绩效评价操作指南》，</w:t>
      </w:r>
      <w:r>
        <w:rPr>
          <w:rFonts w:hint="default" w:ascii="Times New Roman" w:hAnsi="Times New Roman" w:eastAsia="仿宋_GB2312" w:cs="Times New Roman"/>
          <w:color w:val="auto"/>
          <w:sz w:val="32"/>
          <w:szCs w:val="32"/>
          <w:lang w:val="en-US" w:eastAsia="zh-CN"/>
        </w:rPr>
        <w:t xml:space="preserve">按照</w:t>
      </w:r>
      <w:r>
        <w:rPr>
          <w:rFonts w:hint="default" w:ascii="Times New Roman" w:hAnsi="Times New Roman" w:eastAsia="仿宋_GB2312" w:cs="Times New Roman"/>
          <w:color w:val="auto"/>
          <w:sz w:val="32"/>
          <w:szCs w:val="32"/>
        </w:rPr>
        <w:t xml:space="preserve">湖北省预算绩效管理标准化工作组制定的《第三方机构参与预算绩效管理报告编制规范》（HUBS/WG02/T003）要求，结合</w:t>
      </w:r>
      <w:r>
        <w:rPr>
          <w:rFonts w:hint="default" w:ascii="Times New Roman" w:hAnsi="Times New Roman" w:eastAsia="仿宋_GB2312" w:cs="Times New Roman"/>
          <w:color w:val="auto"/>
          <w:sz w:val="32"/>
          <w:szCs w:val="32"/>
          <w:lang w:val="en-US" w:eastAsia="zh-CN"/>
        </w:rPr>
        <w:t xml:space="preserve">市民政局项目</w:t>
      </w:r>
      <w:r>
        <w:rPr>
          <w:rFonts w:hint="default" w:ascii="Times New Roman" w:hAnsi="Times New Roman" w:eastAsia="仿宋_GB2312" w:cs="Times New Roman"/>
          <w:color w:val="auto"/>
          <w:sz w:val="32"/>
          <w:szCs w:val="32"/>
          <w:lang w:eastAsia="zh-CN"/>
        </w:rPr>
        <w:t xml:space="preserve">支出</w:t>
      </w:r>
      <w:r>
        <w:rPr>
          <w:rFonts w:hint="default" w:ascii="Times New Roman" w:hAnsi="Times New Roman" w:eastAsia="仿宋_GB2312" w:cs="Times New Roman"/>
          <w:color w:val="auto"/>
          <w:sz w:val="32"/>
          <w:szCs w:val="32"/>
          <w:lang w:val="en-US" w:eastAsia="zh-CN"/>
        </w:rPr>
        <w:t xml:space="preserve">实际情况及当年工作重点</w:t>
      </w:r>
      <w:r>
        <w:rPr>
          <w:rFonts w:hint="default" w:ascii="Times New Roman" w:hAnsi="Times New Roman" w:eastAsia="仿宋_GB2312" w:cs="Times New Roman"/>
          <w:color w:val="auto"/>
          <w:sz w:val="32"/>
          <w:szCs w:val="32"/>
        </w:rPr>
        <w:t xml:space="preserve">，运用定量定性原则，确定了绩效评价一级指标、二级指标和三级指标。</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具体指标的分布情况、权重、指标解释、指标说明</w:t>
      </w:r>
      <w:r>
        <w:rPr>
          <w:rFonts w:hint="default" w:ascii="Times New Roman" w:hAnsi="Times New Roman" w:eastAsia="仿宋_GB2312" w:cs="Times New Roman"/>
          <w:color w:val="auto"/>
          <w:sz w:val="32"/>
          <w:szCs w:val="32"/>
          <w:lang w:eastAsia="zh-CN"/>
        </w:rPr>
        <w:t xml:space="preserve">见指标体系表</w:t>
      </w:r>
      <w:r>
        <w:rPr>
          <w:rFonts w:hint="default" w:ascii="Times New Roman" w:hAnsi="Times New Roman" w:eastAsia="仿宋_GB2312" w:cs="Times New Roman"/>
          <w:color w:val="auto"/>
          <w:sz w:val="32"/>
          <w:szCs w:val="32"/>
          <w:lang w:val="en-US" w:eastAsia="zh-CN"/>
        </w:rPr>
        <w:t xml:space="preserve">本报告</w:t>
      </w:r>
      <w:r>
        <w:rPr>
          <w:rFonts w:hint="default" w:ascii="Times New Roman" w:hAnsi="Times New Roman" w:eastAsia="仿宋_GB2312" w:cs="Times New Roman"/>
          <w:color w:val="auto"/>
          <w:sz w:val="32"/>
          <w:szCs w:val="32"/>
          <w:lang w:eastAsia="zh-CN"/>
        </w:rPr>
        <w:t xml:space="preserve">附</w:t>
      </w:r>
      <w:r>
        <w:rPr>
          <w:rFonts w:hint="default" w:ascii="Times New Roman" w:hAnsi="Times New Roman" w:eastAsia="仿宋_GB2312" w:cs="Times New Roman"/>
          <w:color w:val="auto"/>
          <w:sz w:val="32"/>
          <w:szCs w:val="32"/>
          <w:lang w:val="en-US" w:eastAsia="zh-CN"/>
        </w:rPr>
        <w:t xml:space="preserve">件。</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2.2.3.2综合评分方法</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根据评价方法对评价指标采用百分制打分后，对绩效评价结果采取评分与评级相结合的形式，确定绩效评价结果类型分为： 优、良、中、差四个等级，其中90（含）-100分为优、80（含）-90分为良、60（含）-80分为中</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60分以下为差，最终确定项目绩效评价的等级。</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219" w:name="_Toc14795"/>
      <w:r/>
      <w:bookmarkStart w:id="220" w:name="_Toc1152401093"/>
      <w:r/>
      <w:bookmarkStart w:id="221" w:name="_Toc862199792"/>
      <w:r/>
      <w:bookmarkStart w:id="222" w:name="_Toc1624168715"/>
      <w:r/>
      <w:bookmarkStart w:id="223" w:name="_Toc1061100230"/>
      <w:r/>
      <w:bookmarkStart w:id="224" w:name="_Toc5944"/>
      <w:r/>
      <w:bookmarkStart w:id="225" w:name="_Toc8440"/>
      <w:r/>
      <w:bookmarkStart w:id="226" w:name="_Toc23137"/>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w:t>
      </w:r>
      <w:bookmarkEnd w:id="219"/>
      <w:r/>
      <w:bookmarkEnd w:id="220"/>
      <w:r/>
      <w:bookmarkEnd w:id="221"/>
      <w:r/>
      <w:bookmarkEnd w:id="222"/>
      <w:r/>
      <w:bookmarkEnd w:id="223"/>
      <w:r>
        <w:rPr>
          <w:rFonts w:hint="default" w:ascii="Times New Roman" w:hAnsi="Times New Roman" w:eastAsia="楷体_GB2312" w:cs="Times New Roman"/>
          <w:color w:val="auto"/>
          <w:sz w:val="32"/>
          <w:szCs w:val="32"/>
          <w:lang w:val="en-US" w:eastAsia="zh-CN"/>
        </w:rPr>
        <w:t xml:space="preserve">绩效指标完成情况分析</w:t>
      </w:r>
      <w:bookmarkEnd w:id="224"/>
      <w:r/>
      <w:bookmarkEnd w:id="225"/>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市民政局</w:t>
      </w:r>
      <w:r>
        <w:rPr>
          <w:rFonts w:hint="default" w:ascii="Times New Roman" w:hAnsi="Times New Roman" w:eastAsia="仿宋_GB2312" w:cs="Times New Roman"/>
          <w:color w:val="auto"/>
          <w:sz w:val="32"/>
          <w:szCs w:val="32"/>
          <w:lang w:eastAsia="zh-CN"/>
        </w:rPr>
        <w:t xml:space="preserve">福彩公益金市县分成资金项目</w:t>
      </w:r>
      <w:r>
        <w:rPr>
          <w:rFonts w:hint="default" w:ascii="Times New Roman" w:hAnsi="Times New Roman" w:eastAsia="仿宋_GB2312" w:cs="Times New Roman"/>
          <w:color w:val="auto"/>
          <w:sz w:val="32"/>
          <w:szCs w:val="32"/>
        </w:rPr>
        <w:t xml:space="preserve">支出绩效评价</w:t>
      </w:r>
      <w:r>
        <w:rPr>
          <w:rFonts w:hint="default" w:ascii="Times New Roman" w:hAnsi="Times New Roman" w:eastAsia="仿宋_GB2312" w:cs="Times New Roman"/>
          <w:color w:val="auto"/>
          <w:sz w:val="32"/>
          <w:szCs w:val="32"/>
          <w:lang w:eastAsia="zh-CN"/>
        </w:rPr>
        <w:t xml:space="preserve">项目</w:t>
      </w:r>
      <w:r>
        <w:rPr>
          <w:rFonts w:hint="default" w:ascii="Times New Roman" w:hAnsi="Times New Roman" w:eastAsia="仿宋_GB2312" w:cs="Times New Roman"/>
          <w:color w:val="auto"/>
          <w:sz w:val="32"/>
          <w:szCs w:val="32"/>
        </w:rPr>
        <w:t xml:space="preserve">综合评分</w:t>
      </w:r>
      <w:r>
        <w:rPr>
          <w:rFonts w:hint="default" w:ascii="Times New Roman" w:hAnsi="Times New Roman" w:eastAsia="仿宋_GB2312" w:cs="Times New Roman"/>
          <w:color w:val="auto"/>
          <w:sz w:val="32"/>
          <w:szCs w:val="32"/>
          <w:lang w:val="en-US" w:eastAsia="zh-CN"/>
        </w:rPr>
        <w:t xml:space="preserve">92.38</w:t>
      </w:r>
      <w:r>
        <w:rPr>
          <w:rFonts w:hint="default" w:ascii="Times New Roman" w:hAnsi="Times New Roman" w:eastAsia="仿宋_GB2312" w:cs="Times New Roman"/>
          <w:color w:val="auto"/>
          <w:sz w:val="32"/>
          <w:szCs w:val="32"/>
        </w:rPr>
        <w:t xml:space="preserve">分，评价等级为</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优</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。其中决策指标得分</w:t>
      </w:r>
      <w:r>
        <w:rPr>
          <w:rFonts w:hint="default" w:ascii="Times New Roman" w:hAnsi="Times New Roman" w:eastAsia="仿宋_GB2312" w:cs="Times New Roman"/>
          <w:color w:val="auto"/>
          <w:sz w:val="32"/>
          <w:szCs w:val="32"/>
          <w:lang w:val="en-US" w:eastAsia="zh-CN"/>
        </w:rPr>
        <w:t xml:space="preserve">15</w:t>
      </w:r>
      <w:r>
        <w:rPr>
          <w:rFonts w:hint="default" w:ascii="Times New Roman" w:hAnsi="Times New Roman" w:eastAsia="仿宋_GB2312" w:cs="Times New Roman"/>
          <w:color w:val="auto"/>
          <w:sz w:val="32"/>
          <w:szCs w:val="32"/>
        </w:rPr>
        <w:t xml:space="preserve">分，过程指标得分</w:t>
      </w:r>
      <w:r>
        <w:rPr>
          <w:rFonts w:hint="default" w:ascii="Times New Roman" w:hAnsi="Times New Roman" w:eastAsia="仿宋_GB2312" w:cs="Times New Roman"/>
          <w:color w:val="auto"/>
          <w:sz w:val="32"/>
          <w:szCs w:val="32"/>
          <w:lang w:val="en-US" w:eastAsia="zh-CN"/>
        </w:rPr>
        <w:t xml:space="preserve">18.38</w:t>
      </w:r>
      <w:r>
        <w:rPr>
          <w:rFonts w:hint="default" w:ascii="Times New Roman" w:hAnsi="Times New Roman" w:eastAsia="仿宋_GB2312" w:cs="Times New Roman"/>
          <w:color w:val="auto"/>
          <w:sz w:val="32"/>
          <w:szCs w:val="32"/>
        </w:rPr>
        <w:t xml:space="preserve">分，产出指标得分</w:t>
      </w:r>
      <w:r>
        <w:rPr>
          <w:rFonts w:hint="default" w:ascii="Times New Roman" w:hAnsi="Times New Roman" w:eastAsia="仿宋_GB2312" w:cs="Times New Roman"/>
          <w:color w:val="auto"/>
          <w:sz w:val="32"/>
          <w:szCs w:val="32"/>
          <w:lang w:val="en-US" w:eastAsia="zh-CN"/>
        </w:rPr>
        <w:t xml:space="preserve">29</w:t>
      </w:r>
      <w:r>
        <w:rPr>
          <w:rFonts w:hint="default" w:ascii="Times New Roman" w:hAnsi="Times New Roman" w:eastAsia="仿宋_GB2312" w:cs="Times New Roman"/>
          <w:color w:val="auto"/>
          <w:sz w:val="32"/>
          <w:szCs w:val="32"/>
        </w:rPr>
        <w:t xml:space="preserve">分，效</w:t>
      </w:r>
      <w:r>
        <w:rPr>
          <w:rFonts w:hint="default" w:ascii="Times New Roman" w:hAnsi="Times New Roman" w:eastAsia="仿宋_GB2312" w:cs="Times New Roman"/>
          <w:color w:val="auto"/>
          <w:sz w:val="32"/>
          <w:szCs w:val="32"/>
          <w:lang w:eastAsia="zh-CN"/>
        </w:rPr>
        <w:t xml:space="preserve">果</w:t>
      </w:r>
      <w:r>
        <w:rPr>
          <w:rFonts w:hint="default" w:ascii="Times New Roman" w:hAnsi="Times New Roman" w:eastAsia="仿宋_GB2312" w:cs="Times New Roman"/>
          <w:color w:val="auto"/>
          <w:sz w:val="32"/>
          <w:szCs w:val="32"/>
        </w:rPr>
        <w:t xml:space="preserve">指标得分</w:t>
      </w:r>
      <w:r>
        <w:rPr>
          <w:rFonts w:hint="default" w:ascii="Times New Roman" w:hAnsi="Times New Roman" w:eastAsia="仿宋_GB2312" w:cs="Times New Roman"/>
          <w:color w:val="auto"/>
          <w:sz w:val="32"/>
          <w:szCs w:val="32"/>
          <w:lang w:val="en-US" w:eastAsia="zh-CN"/>
        </w:rPr>
        <w:t xml:space="preserve">30</w:t>
      </w:r>
      <w:r>
        <w:rPr>
          <w:rFonts w:hint="default" w:ascii="Times New Roman" w:hAnsi="Times New Roman" w:eastAsia="仿宋_GB2312" w:cs="Times New Roman"/>
          <w:color w:val="auto"/>
          <w:sz w:val="32"/>
          <w:szCs w:val="32"/>
        </w:rPr>
        <w:t xml:space="preserve">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27" w:name="_Toc19811"/>
      <w:r/>
      <w:bookmarkStart w:id="228" w:name="_Toc9246"/>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.1</w:t>
      </w:r>
      <w:bookmarkEnd w:id="226"/>
      <w:r>
        <w:rPr>
          <w:rFonts w:hint="default" w:ascii="Times New Roman" w:hAnsi="Times New Roman" w:eastAsia="楷体_GB2312" w:cs="Times New Roman"/>
          <w:color w:val="auto"/>
          <w:sz w:val="32"/>
          <w:szCs w:val="32"/>
          <w:lang w:val="en-US" w:eastAsia="zh-CN"/>
        </w:rPr>
        <w:t xml:space="preserve">项目决策情况分析（18分）</w:t>
      </w:r>
      <w:bookmarkEnd w:id="227"/>
      <w:r/>
      <w:bookmarkEnd w:id="228"/>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决策指标权重</w:t>
      </w:r>
      <w:r>
        <w:rPr>
          <w:rFonts w:hint="default" w:ascii="Times New Roman" w:hAnsi="Times New Roman" w:eastAsia="仿宋_GB2312" w:cs="Times New Roman"/>
          <w:color w:val="auto"/>
          <w:sz w:val="32"/>
          <w:szCs w:val="32"/>
          <w:lang w:eastAsia="zh-CN"/>
        </w:rPr>
        <w:t xml:space="preserve">1</w:t>
      </w:r>
      <w:r>
        <w:rPr>
          <w:rFonts w:hint="default" w:ascii="Times New Roman" w:hAnsi="Times New Roman" w:eastAsia="仿宋_GB2312" w:cs="Times New Roman"/>
          <w:color w:val="auto"/>
          <w:sz w:val="32"/>
          <w:szCs w:val="32"/>
          <w:lang w:val="en-US" w:eastAsia="zh-CN"/>
        </w:rPr>
        <w:t xml:space="preserve">8分，评价得分15分。下设3个二级指标：项目立项、项目</w:t>
      </w:r>
      <w:r>
        <w:rPr>
          <w:rFonts w:hint="default" w:ascii="Times New Roman" w:hAnsi="Times New Roman" w:eastAsia="仿宋_GB2312" w:cs="Times New Roman"/>
          <w:color w:val="auto"/>
          <w:sz w:val="32"/>
          <w:szCs w:val="32"/>
          <w:lang w:val="en-US" w:eastAsia="zh-Hans"/>
        </w:rPr>
        <w:t xml:space="preserve">绩效</w:t>
      </w:r>
      <w:r>
        <w:rPr>
          <w:rFonts w:hint="default" w:ascii="Times New Roman" w:hAnsi="Times New Roman" w:eastAsia="仿宋_GB2312" w:cs="Times New Roman"/>
          <w:color w:val="auto"/>
          <w:sz w:val="32"/>
          <w:szCs w:val="32"/>
          <w:lang w:val="en-US" w:eastAsia="zh-CN"/>
        </w:rPr>
        <w:t xml:space="preserve">和资金投入。</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29" w:name="_Toc439748575"/>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.1.1项目立项</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项目立项</w:t>
      </w:r>
      <w:r>
        <w:rPr>
          <w:rFonts w:hint="default" w:ascii="Times New Roman" w:hAnsi="Times New Roman" w:eastAsia="仿宋_GB2312" w:cs="Times New Roman"/>
          <w:color w:val="auto"/>
          <w:sz w:val="32"/>
          <w:szCs w:val="32"/>
          <w:lang w:val="en-US" w:eastAsia="zh-CN"/>
        </w:rPr>
        <w:t xml:space="preserve">指标下设2个三级指标：</w:t>
      </w:r>
      <w:r>
        <w:rPr>
          <w:rFonts w:hint="default" w:ascii="Times New Roman" w:hAnsi="Times New Roman" w:eastAsia="仿宋_GB2312" w:cs="Times New Roman"/>
          <w:color w:val="auto"/>
          <w:sz w:val="32"/>
          <w:szCs w:val="32"/>
          <w:lang w:val="en-US" w:eastAsia="zh-Hans"/>
        </w:rPr>
        <w:t xml:space="preserve">立项依据充分性</w:t>
      </w:r>
      <w:r>
        <w:rPr>
          <w:rFonts w:hint="default" w:ascii="Times New Roman" w:hAnsi="Times New Roman" w:eastAsia="仿宋_GB2312" w:cs="Times New Roman"/>
          <w:color w:val="auto"/>
          <w:sz w:val="32"/>
          <w:szCs w:val="32"/>
          <w:lang w:val="en-US" w:eastAsia="zh-CN"/>
        </w:rPr>
        <w:t xml:space="preserve">和</w:t>
      </w:r>
      <w:r>
        <w:rPr>
          <w:rFonts w:hint="default" w:ascii="Times New Roman" w:hAnsi="Times New Roman" w:eastAsia="仿宋_GB2312" w:cs="Times New Roman"/>
          <w:color w:val="auto"/>
          <w:sz w:val="32"/>
          <w:szCs w:val="32"/>
          <w:lang w:val="en-US" w:eastAsia="zh-Hans"/>
        </w:rPr>
        <w:t xml:space="preserve">立项程序规范性</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立项依据充分性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，评价得分3分，无扣分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项目立项按照《彩票管理条例》《彩票管理条例实施细则》《彩票公益金管理办法》《中央集中彩票公益金支持社会福利事业资金使用管理办法》等规定，与部门职责范围相符，属于部门履职所需；未与相关部门同类项目或部门内部相关项目重复；项目预算完成了预算公开程序。</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Hans"/>
        </w:rPr>
        <w:t xml:space="preserve">立项程序规范性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，评价得分3分，</w:t>
      </w:r>
      <w:r>
        <w:rPr>
          <w:rFonts w:hint="default" w:ascii="Times New Roman" w:hAnsi="Times New Roman" w:eastAsia="仿宋_GB2312" w:cs="Times New Roman"/>
          <w:color w:val="auto"/>
          <w:sz w:val="32"/>
          <w:szCs w:val="32"/>
          <w:lang w:val="en-US" w:eastAsia="zh-Hans"/>
        </w:rPr>
        <w:t xml:space="preserve">无扣分</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市民政局按照财政部门要求编制部门项目申报文本。项目按照规定的程序申请设立；审批文件、材料符合立项要求；事前已经过必要的可行性研究、集体决策</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.1.2项目绩效</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绩效目标</w:t>
      </w:r>
      <w:r>
        <w:rPr>
          <w:rFonts w:hint="default" w:ascii="Times New Roman" w:hAnsi="Times New Roman" w:eastAsia="仿宋_GB2312" w:cs="Times New Roman"/>
          <w:color w:val="auto"/>
          <w:sz w:val="32"/>
          <w:szCs w:val="32"/>
          <w:lang w:val="en-US" w:eastAsia="zh-CN"/>
        </w:rPr>
        <w:t xml:space="preserve">指标下设2个三级指标：</w:t>
      </w:r>
      <w:r>
        <w:rPr>
          <w:rFonts w:hint="default" w:ascii="Times New Roman" w:hAnsi="Times New Roman" w:eastAsia="仿宋_GB2312" w:cs="Times New Roman"/>
          <w:color w:val="auto"/>
          <w:sz w:val="32"/>
          <w:szCs w:val="32"/>
          <w:lang w:val="en-US" w:eastAsia="zh-Hans"/>
        </w:rPr>
        <w:t xml:space="preserve">绩效目标合理性</w:t>
      </w:r>
      <w:r>
        <w:rPr>
          <w:rFonts w:hint="default" w:ascii="Times New Roman" w:hAnsi="Times New Roman" w:eastAsia="仿宋_GB2312" w:cs="Times New Roman"/>
          <w:color w:val="auto"/>
          <w:sz w:val="32"/>
          <w:szCs w:val="32"/>
          <w:lang w:val="en-US" w:eastAsia="zh-CN"/>
        </w:rPr>
        <w:t xml:space="preserve">和</w:t>
      </w:r>
      <w:r>
        <w:rPr>
          <w:rFonts w:hint="default" w:ascii="Times New Roman" w:hAnsi="Times New Roman" w:eastAsia="仿宋_GB2312" w:cs="Times New Roman"/>
          <w:color w:val="auto"/>
          <w:sz w:val="32"/>
          <w:szCs w:val="32"/>
          <w:lang w:val="en-US" w:eastAsia="zh-Hans"/>
        </w:rPr>
        <w:t xml:space="preserve">绩效指标明确性</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绩效目标合理性</w:t>
      </w:r>
      <w:bookmarkEnd w:id="229"/>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，评价得分2分，扣1分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分原因：项目设置的绩效目标与实际工作内容具有相关性，预期产出效益和效果符合正常的业绩水平，与预算确定的项目资金量相匹配。但该项目未单独设置一级项目整体管理，绩效目标分散至各个科室的工作经费项目中，未单独设置绩效目标。</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Hans"/>
        </w:rPr>
        <w:t xml:space="preserve">绩效指标明确性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，评价得分2分，扣1分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扣分原因：项目单位将项目绩效目标细化分解为具体的绩效指标，通过清晰、可衡量的指标值予以体现，与项目目标任务数相对应</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但该项目未单独设置一级项目整体管理，绩效目标分散至各个科室的工作经费项目中，未单独设置绩效目标。</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.1.2</w:t>
      </w:r>
      <w:r>
        <w:rPr>
          <w:rFonts w:hint="default" w:ascii="Times New Roman" w:hAnsi="Times New Roman" w:eastAsia="楷体_GB2312" w:cs="Times New Roman"/>
          <w:color w:val="auto"/>
          <w:sz w:val="32"/>
          <w:szCs w:val="32"/>
          <w:lang w:val="en-US" w:eastAsia="zh-Hans"/>
        </w:rPr>
        <w:t xml:space="preserve">资金投入</w:t>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资金投入</w:t>
      </w:r>
      <w:r>
        <w:rPr>
          <w:rFonts w:hint="default" w:ascii="Times New Roman" w:hAnsi="Times New Roman" w:eastAsia="仿宋_GB2312" w:cs="Times New Roman"/>
          <w:color w:val="auto"/>
          <w:sz w:val="32"/>
          <w:szCs w:val="32"/>
          <w:lang w:val="en-US" w:eastAsia="zh-CN"/>
        </w:rPr>
        <w:t xml:space="preserve">指标下设2个三级指标：</w:t>
      </w:r>
      <w:r>
        <w:rPr>
          <w:rFonts w:hint="default" w:ascii="Times New Roman" w:hAnsi="Times New Roman" w:eastAsia="仿宋_GB2312" w:cs="Times New Roman"/>
          <w:color w:val="auto"/>
          <w:sz w:val="32"/>
          <w:szCs w:val="32"/>
        </w:rPr>
        <w:t xml:space="preserve">预算编制科学性</w:t>
      </w:r>
      <w:r>
        <w:rPr>
          <w:rFonts w:hint="default" w:ascii="Times New Roman" w:hAnsi="Times New Roman" w:eastAsia="仿宋_GB2312" w:cs="Times New Roman"/>
          <w:color w:val="auto"/>
          <w:sz w:val="32"/>
          <w:szCs w:val="32"/>
          <w:lang w:val="en-US" w:eastAsia="zh-CN"/>
        </w:rPr>
        <w:t xml:space="preserve">和</w:t>
      </w:r>
      <w:r>
        <w:rPr>
          <w:rFonts w:hint="default" w:ascii="Times New Roman" w:hAnsi="Times New Roman" w:eastAsia="仿宋_GB2312" w:cs="Times New Roman"/>
          <w:color w:val="auto"/>
          <w:sz w:val="32"/>
          <w:szCs w:val="32"/>
        </w:rPr>
        <w:t xml:space="preserve">资金</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rPr>
        <w:t xml:space="preserve">配合理性</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Hans"/>
        </w:rPr>
        <w:t xml:space="preserve">预算编制科学性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，评价得分2分，扣1分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分原因：项目预算编制经过科学论证，有明确标准，资金额度与年度目标相适应。但项目单位未单独设置一级项目进行专项管理，每年的预算编制将项目资金控制数分解到各业务科室的工作经费项目中，与科室其他工作经费混编，不便于专项资金管理及数据统计。</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资金分配合理性</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，评价得分3分，</w:t>
      </w:r>
      <w:r>
        <w:rPr>
          <w:rFonts w:hint="default" w:ascii="Times New Roman" w:hAnsi="Times New Roman" w:eastAsia="仿宋_GB2312" w:cs="Times New Roman"/>
          <w:color w:val="auto"/>
          <w:sz w:val="32"/>
          <w:szCs w:val="32"/>
          <w:lang w:val="en-US" w:eastAsia="zh-Hans"/>
        </w:rPr>
        <w:t xml:space="preserve">无扣分</w:t>
      </w:r>
      <w:r>
        <w:rPr>
          <w:rFonts w:hint="default" w:ascii="Times New Roman" w:hAnsi="Times New Roman" w:eastAsia="仿宋_GB2312" w:cs="Times New Roman"/>
          <w:color w:val="auto"/>
          <w:sz w:val="32"/>
          <w:szCs w:val="32"/>
          <w:lang w:eastAsia="zh-CN"/>
        </w:rPr>
        <w:t xml:space="preserve">。预算资金分配依据充分，资金分配额度合理，与项目单位实际相适应</w:t>
      </w:r>
      <w:r>
        <w:rPr>
          <w:rFonts w:hint="default" w:ascii="Times New Roman" w:hAnsi="Times New Roman" w:eastAsia="仿宋_GB2312" w:cs="Times New Roman"/>
          <w:color w:val="auto"/>
          <w:sz w:val="32"/>
          <w:szCs w:val="32"/>
          <w:lang w:val="en-US" w:eastAsia="zh-CN"/>
        </w:rPr>
        <w:t xml:space="preserve">。</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30" w:name="_Toc49"/>
      <w:r/>
      <w:bookmarkStart w:id="231" w:name="_Toc10668"/>
      <w:r/>
      <w:bookmarkStart w:id="232" w:name="_Toc9170"/>
      <w:r/>
      <w:bookmarkStart w:id="233" w:name="_Toc401524717"/>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.2</w:t>
      </w:r>
      <w:bookmarkEnd w:id="230"/>
      <w:r>
        <w:rPr>
          <w:rFonts w:hint="default" w:ascii="Times New Roman" w:hAnsi="Times New Roman" w:eastAsia="楷体_GB2312" w:cs="Times New Roman"/>
          <w:color w:val="auto"/>
          <w:sz w:val="32"/>
          <w:szCs w:val="32"/>
          <w:lang w:val="en-US" w:eastAsia="zh-CN"/>
        </w:rPr>
        <w:t xml:space="preserve">项目过程情况分析（22分）</w:t>
      </w:r>
      <w:bookmarkEnd w:id="231"/>
      <w:r/>
      <w:bookmarkEnd w:id="232"/>
      <w:r/>
      <w:bookmarkEnd w:id="233"/>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过程</w:t>
      </w:r>
      <w:r>
        <w:rPr>
          <w:rFonts w:hint="default" w:ascii="Times New Roman" w:hAnsi="Times New Roman" w:eastAsia="仿宋_GB2312" w:cs="Times New Roman"/>
          <w:color w:val="auto"/>
          <w:sz w:val="32"/>
          <w:szCs w:val="32"/>
          <w:lang w:val="en-US" w:eastAsia="zh-CN"/>
        </w:rPr>
        <w:t xml:space="preserve">指标权重22分，评价得分18.38分。下设</w:t>
      </w:r>
      <w:r>
        <w:rPr>
          <w:rFonts w:hint="default" w:ascii="Times New Roman" w:hAnsi="Times New Roman" w:eastAsia="仿宋_GB2312" w:cs="Times New Roman"/>
          <w:color w:val="auto"/>
          <w:sz w:val="32"/>
          <w:szCs w:val="32"/>
          <w:lang w:eastAsia="zh-CN"/>
        </w:rPr>
        <w:t xml:space="preserve">2</w:t>
      </w:r>
      <w:r>
        <w:rPr>
          <w:rFonts w:hint="default" w:ascii="Times New Roman" w:hAnsi="Times New Roman" w:eastAsia="仿宋_GB2312" w:cs="Times New Roman"/>
          <w:color w:val="auto"/>
          <w:sz w:val="32"/>
          <w:szCs w:val="32"/>
          <w:lang w:val="en-US" w:eastAsia="zh-CN"/>
        </w:rPr>
        <w:t xml:space="preserve">个二级指标：</w:t>
      </w:r>
      <w:r>
        <w:rPr>
          <w:rFonts w:hint="default" w:ascii="Times New Roman" w:hAnsi="Times New Roman" w:eastAsia="仿宋_GB2312" w:cs="Times New Roman"/>
          <w:color w:val="auto"/>
          <w:sz w:val="32"/>
          <w:szCs w:val="32"/>
          <w:lang w:val="en-US" w:eastAsia="zh-Hans"/>
        </w:rPr>
        <w:t xml:space="preserve">资金管理和组织实施</w:t>
      </w:r>
      <w:r>
        <w:rPr>
          <w:rFonts w:hint="default" w:ascii="Times New Roman" w:hAnsi="Times New Roman" w:eastAsia="仿宋_GB2312" w:cs="Times New Roman"/>
          <w:color w:val="auto"/>
          <w:sz w:val="32"/>
          <w:szCs w:val="32"/>
          <w:lang w:val="en-US" w:eastAsia="zh-CN"/>
        </w:rPr>
        <w:t xml:space="preserve">。</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rPr>
          <w:rFonts w:hint="default" w:ascii="Times New Roman" w:hAnsi="Times New Roman" w:eastAsia="楷体_GB2312" w:cs="Times New Roman"/>
          <w:color w:val="auto"/>
          <w:sz w:val="32"/>
          <w:szCs w:val="32"/>
          <w:lang w:val="en-US" w:eastAsia="zh-Hans"/>
        </w:rPr>
        <w:t xml:space="preserve">2.3.2.1资金管理</w:t>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资金管理</w:t>
      </w:r>
      <w:r>
        <w:rPr>
          <w:rFonts w:hint="default" w:ascii="Times New Roman" w:hAnsi="Times New Roman" w:eastAsia="仿宋_GB2312" w:cs="Times New Roman"/>
          <w:color w:val="auto"/>
          <w:sz w:val="32"/>
          <w:szCs w:val="32"/>
          <w:lang w:val="en-US" w:eastAsia="zh-CN"/>
        </w:rPr>
        <w:t xml:space="preserve">指标下设</w:t>
      </w:r>
      <w:r>
        <w:rPr>
          <w:rFonts w:hint="default" w:ascii="Times New Roman" w:hAnsi="Times New Roman" w:eastAsia="仿宋_GB2312" w:cs="Times New Roman"/>
          <w:color w:val="auto"/>
          <w:sz w:val="32"/>
          <w:szCs w:val="32"/>
          <w:lang w:eastAsia="zh-CN"/>
        </w:rPr>
        <w:t xml:space="preserve">3</w:t>
      </w:r>
      <w:r>
        <w:rPr>
          <w:rFonts w:hint="default" w:ascii="Times New Roman" w:hAnsi="Times New Roman" w:eastAsia="仿宋_GB2312" w:cs="Times New Roman"/>
          <w:color w:val="auto"/>
          <w:sz w:val="32"/>
          <w:szCs w:val="32"/>
          <w:lang w:val="en-US" w:eastAsia="zh-CN"/>
        </w:rPr>
        <w:t xml:space="preserve">个三级指标：</w:t>
      </w:r>
      <w:r>
        <w:rPr>
          <w:rFonts w:hint="default" w:ascii="Times New Roman" w:hAnsi="Times New Roman" w:eastAsia="仿宋_GB2312" w:cs="Times New Roman"/>
          <w:color w:val="auto"/>
          <w:sz w:val="32"/>
          <w:szCs w:val="32"/>
          <w:lang w:val="en-US" w:eastAsia="zh-Hans"/>
        </w:rPr>
        <w:t xml:space="preserve">资金到位率、预算执行率和资金使用合规性</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资金到位率</w:t>
      </w:r>
      <w:r>
        <w:rPr>
          <w:rFonts w:hint="default" w:ascii="Times New Roman" w:hAnsi="Times New Roman" w:eastAsia="仿宋_GB2312" w:cs="Times New Roman"/>
          <w:color w:val="auto"/>
          <w:sz w:val="32"/>
          <w:szCs w:val="32"/>
          <w:lang w:val="en-US" w:eastAsia="zh-CN"/>
        </w:rPr>
        <w:t xml:space="preserve">指标权重2</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，评价得分1.35分，扣0.65分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扣分原因：资金预算数725.44万元，实际下达488.65万元，资金到位率67.36%。</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预算执行率</w:t>
      </w:r>
      <w:r>
        <w:rPr>
          <w:rFonts w:hint="default" w:ascii="Times New Roman" w:hAnsi="Times New Roman" w:eastAsia="仿宋_GB2312" w:cs="Times New Roman"/>
          <w:color w:val="auto"/>
          <w:sz w:val="32"/>
          <w:szCs w:val="32"/>
          <w:lang w:val="en-US" w:eastAsia="zh-CN"/>
        </w:rPr>
        <w:t xml:space="preserve">指标权重6</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，评价得分5.03分，扣0.97分</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扣分原因：资金实际下达488.65万元，当年执行数409.26万元，预算执行率84%。</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Hans"/>
        </w:rPr>
        <w:t xml:space="preserve">资金使用合规性</w:t>
      </w:r>
      <w:r>
        <w:rPr>
          <w:rFonts w:hint="default" w:ascii="Times New Roman" w:hAnsi="Times New Roman" w:eastAsia="仿宋_GB2312" w:cs="Times New Roman"/>
          <w:color w:val="auto"/>
          <w:sz w:val="32"/>
          <w:szCs w:val="32"/>
          <w:lang w:val="en-US" w:eastAsia="zh-CN"/>
        </w:rPr>
        <w:t xml:space="preserve">指标权重</w:t>
      </w:r>
      <w:r>
        <w:rPr>
          <w:rFonts w:hint="default" w:ascii="Times New Roman" w:hAnsi="Times New Roman" w:eastAsia="仿宋_GB2312" w:cs="Times New Roman"/>
          <w:color w:val="auto"/>
          <w:sz w:val="32"/>
          <w:szCs w:val="32"/>
          <w:lang w:eastAsia="zh-CN"/>
        </w:rPr>
        <w:t xml:space="preserve">4</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，评价得分4分，</w:t>
      </w:r>
      <w:r>
        <w:rPr>
          <w:rFonts w:hint="default" w:ascii="Times New Roman" w:hAnsi="Times New Roman" w:eastAsia="仿宋_GB2312" w:cs="Times New Roman"/>
          <w:color w:val="auto"/>
          <w:sz w:val="32"/>
          <w:szCs w:val="32"/>
          <w:lang w:val="en-US" w:eastAsia="zh-Hans"/>
        </w:rPr>
        <w:t xml:space="preserve">无扣分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资金使用基本符合项目实施单位的财务管理制度、专项资金财务和业务管理制度规定。</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rPr>
          <w:rFonts w:hint="default" w:ascii="Times New Roman" w:hAnsi="Times New Roman" w:eastAsia="楷体_GB2312" w:cs="Times New Roman"/>
          <w:color w:val="auto"/>
          <w:sz w:val="32"/>
          <w:szCs w:val="32"/>
          <w:lang w:val="en-US" w:eastAsia="zh-Hans"/>
        </w:rPr>
        <w:t xml:space="preserve">2.3.2.2组织实施</w:t>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组织实施</w:t>
      </w:r>
      <w:r>
        <w:rPr>
          <w:rFonts w:hint="default" w:ascii="Times New Roman" w:hAnsi="Times New Roman" w:eastAsia="仿宋_GB2312" w:cs="Times New Roman"/>
          <w:color w:val="auto"/>
          <w:sz w:val="32"/>
          <w:szCs w:val="32"/>
          <w:lang w:val="en-US" w:eastAsia="zh-CN"/>
        </w:rPr>
        <w:t xml:space="preserve">下设3个三级指标：</w:t>
      </w:r>
      <w:r>
        <w:rPr>
          <w:rFonts w:hint="default" w:ascii="Times New Roman" w:hAnsi="Times New Roman" w:eastAsia="仿宋_GB2312" w:cs="Times New Roman"/>
          <w:color w:val="auto"/>
          <w:sz w:val="32"/>
          <w:szCs w:val="32"/>
          <w:lang w:val="en-US" w:eastAsia="zh-Hans"/>
        </w:rPr>
        <w:t xml:space="preserve">管理制度健全性</w:t>
      </w:r>
      <w:r>
        <w:rPr>
          <w:rFonts w:hint="default" w:ascii="Times New Roman" w:hAnsi="Times New Roman" w:eastAsia="仿宋_GB2312" w:cs="Times New Roman"/>
          <w:color w:val="auto"/>
          <w:sz w:val="32"/>
          <w:szCs w:val="32"/>
          <w:lang w:val="en-US" w:eastAsia="zh-CN"/>
        </w:rPr>
        <w:t xml:space="preserve">、制度执行有效性和政府采购程序完整性</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Hans"/>
        </w:rPr>
        <w:t xml:space="preserve">管理制度健全性</w:t>
      </w:r>
      <w:r>
        <w:rPr>
          <w:rFonts w:hint="default" w:ascii="Times New Roman" w:hAnsi="Times New Roman" w:eastAsia="仿宋_GB2312" w:cs="Times New Roman"/>
          <w:color w:val="auto"/>
          <w:sz w:val="32"/>
          <w:szCs w:val="32"/>
          <w:lang w:val="en-US" w:eastAsia="zh-CN"/>
        </w:rPr>
        <w:t xml:space="preserve">指标权重4分，评价得分3分，扣1分</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扣分原因：项目按照省级管理办法（鄂财社发〔2022〕12号）进行管理，但未结合本地实际，制定当地项目资金实施细则。</w:t>
      </w:r>
      <w:r>
        <w:rPr>
          <w:rFonts w:hint="default" w:ascii="Times New Roman" w:hAnsi="Times New Roman" w:eastAsia="仿宋_GB2312" w:cs="Times New Roman"/>
          <w:color w:val="auto"/>
          <w:sz w:val="32"/>
          <w:szCs w:val="32"/>
          <w:lang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制度执行有效性</w:t>
      </w:r>
      <w:r>
        <w:rPr>
          <w:rFonts w:hint="default" w:ascii="Times New Roman" w:hAnsi="Times New Roman" w:eastAsia="仿宋_GB2312" w:cs="Times New Roman"/>
          <w:color w:val="auto"/>
          <w:sz w:val="32"/>
          <w:szCs w:val="32"/>
          <w:lang w:val="en-US" w:eastAsia="zh-CN"/>
        </w:rPr>
        <w:t xml:space="preserve">指标权重4分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评价</w:t>
      </w:r>
      <w:r>
        <w:rPr>
          <w:rFonts w:hint="default" w:ascii="Times New Roman" w:hAnsi="Times New Roman" w:eastAsia="仿宋_GB2312" w:cs="Times New Roman"/>
          <w:color w:val="auto"/>
          <w:sz w:val="32"/>
          <w:szCs w:val="32"/>
          <w:lang w:val="en-US" w:eastAsia="zh-Hans"/>
        </w:rPr>
        <w:t xml:space="preserve">得分</w:t>
      </w:r>
      <w:r>
        <w:rPr>
          <w:rFonts w:hint="default" w:ascii="Times New Roman" w:hAnsi="Times New Roman" w:eastAsia="仿宋_GB2312" w:cs="Times New Roman"/>
          <w:color w:val="auto"/>
          <w:sz w:val="32"/>
          <w:szCs w:val="32"/>
          <w:lang w:val="en-US" w:eastAsia="zh-CN"/>
        </w:rPr>
        <w:t xml:space="preserve">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，扣1分</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扣分原因：项目绩效自评分散在项目单位各个项目中，未就该项目单独进行绩效自评。</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政府采购程序完整性</w:t>
      </w:r>
      <w:r>
        <w:rPr>
          <w:rFonts w:hint="default" w:ascii="Times New Roman" w:hAnsi="Times New Roman" w:eastAsia="仿宋_GB2312" w:cs="Times New Roman"/>
          <w:color w:val="auto"/>
          <w:sz w:val="32"/>
          <w:szCs w:val="32"/>
          <w:lang w:val="en-US" w:eastAsia="zh-CN"/>
        </w:rPr>
        <w:t xml:space="preserve">指标权重2分，评价得分2分，无扣分。项目实施过程中，严格贯彻落实政府采购程序。</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34" w:name="_Toc16484"/>
      <w:r/>
      <w:bookmarkStart w:id="235" w:name="_Toc27952"/>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w:t>
      </w:r>
      <w:r>
        <w:rPr>
          <w:rFonts w:hint="default" w:ascii="Times New Roman" w:hAnsi="Times New Roman" w:eastAsia="楷体_GB2312" w:cs="Times New Roman"/>
          <w:color w:val="auto"/>
          <w:sz w:val="32"/>
          <w:szCs w:val="32"/>
          <w:lang w:val="en-US" w:eastAsia="zh-CN"/>
        </w:rPr>
        <w:t xml:space="preserve">.3项目产出情况分析（30分）</w:t>
      </w:r>
      <w:bookmarkEnd w:id="234"/>
      <w:r/>
      <w:bookmarkEnd w:id="235"/>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产出</w:t>
      </w:r>
      <w:r>
        <w:rPr>
          <w:rFonts w:hint="default" w:ascii="Times New Roman" w:hAnsi="Times New Roman" w:eastAsia="仿宋_GB2312" w:cs="Times New Roman"/>
          <w:color w:val="auto"/>
          <w:sz w:val="32"/>
          <w:szCs w:val="32"/>
          <w:lang w:val="en-US" w:eastAsia="zh-CN"/>
        </w:rPr>
        <w:t xml:space="preserve">指标权重30分，评价得分29分。下设4个二级指标：</w:t>
      </w:r>
      <w:r>
        <w:rPr>
          <w:rFonts w:hint="default" w:ascii="Times New Roman" w:hAnsi="Times New Roman" w:eastAsia="仿宋_GB2312" w:cs="Times New Roman"/>
          <w:color w:val="auto"/>
          <w:sz w:val="32"/>
          <w:szCs w:val="32"/>
          <w:lang w:val="en-US" w:eastAsia="zh-Hans"/>
        </w:rPr>
        <w:t xml:space="preserve">产出数量</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Hans"/>
        </w:rPr>
        <w:t xml:space="preserve">产出质量</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Hans"/>
        </w:rPr>
        <w:t xml:space="preserve">产出时效</w:t>
      </w:r>
      <w:r>
        <w:rPr>
          <w:rFonts w:hint="default" w:ascii="Times New Roman" w:hAnsi="Times New Roman" w:eastAsia="仿宋_GB2312" w:cs="Times New Roman"/>
          <w:color w:val="auto"/>
          <w:sz w:val="32"/>
          <w:szCs w:val="32"/>
          <w:lang w:val="en-US" w:eastAsia="zh-CN"/>
        </w:rPr>
        <w:t xml:space="preserve">和产出成本。</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rPr>
          <w:rFonts w:hint="default" w:ascii="Times New Roman" w:hAnsi="Times New Roman" w:eastAsia="楷体_GB2312" w:cs="Times New Roman"/>
          <w:color w:val="auto"/>
          <w:sz w:val="32"/>
          <w:szCs w:val="32"/>
          <w:lang w:val="en-US" w:eastAsia="zh-Hans"/>
        </w:rPr>
        <w:t xml:space="preserve">2.3.3.1产出数量</w:t>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产出数量</w:t>
      </w:r>
      <w:r>
        <w:rPr>
          <w:rFonts w:hint="default" w:ascii="Times New Roman" w:hAnsi="Times New Roman" w:eastAsia="仿宋_GB2312" w:cs="Times New Roman"/>
          <w:color w:val="auto"/>
          <w:sz w:val="32"/>
          <w:szCs w:val="32"/>
          <w:lang w:val="en-US" w:eastAsia="zh-CN"/>
        </w:rPr>
        <w:t xml:space="preserve">下设4个三级指标</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养老机构护理型床位占比</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，评价得分3分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无扣分。《民政统计报表和台账数据审核会签单》显示2023年养老机构床位10106张，其中护理型床位6277张，</w:t>
      </w:r>
      <w:r>
        <w:rPr>
          <w:rFonts w:hint="default" w:ascii="Times New Roman" w:hAnsi="Times New Roman" w:eastAsia="仿宋_GB2312" w:cs="Times New Roman"/>
          <w:color w:val="auto"/>
          <w:sz w:val="32"/>
          <w:szCs w:val="32"/>
          <w:lang w:val="en-US" w:eastAsia="zh-Hans"/>
        </w:rPr>
        <w:t xml:space="preserve">护理型床位占比</w:t>
      </w:r>
      <w:r>
        <w:rPr>
          <w:rFonts w:hint="default" w:ascii="Times New Roman" w:hAnsi="Times New Roman" w:eastAsia="仿宋_GB2312" w:cs="Times New Roman"/>
          <w:color w:val="auto"/>
          <w:sz w:val="32"/>
          <w:szCs w:val="32"/>
          <w:lang w:val="en-US" w:eastAsia="zh-CN"/>
        </w:rPr>
        <w:t xml:space="preserve">62.11%。</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乡镇</w:t>
      </w:r>
      <w:r>
        <w:rPr>
          <w:rFonts w:hint="default" w:ascii="Times New Roman" w:hAnsi="Times New Roman" w:eastAsia="仿宋_GB2312" w:cs="Times New Roman"/>
          <w:b/>
          <w:bCs/>
          <w:color w:val="auto"/>
          <w:sz w:val="32"/>
          <w:szCs w:val="32"/>
          <w:lang w:val="en-US" w:eastAsia="zh-CN"/>
        </w:rPr>
        <w:t xml:space="preserve">（</w:t>
      </w:r>
      <w:r>
        <w:rPr>
          <w:rFonts w:hint="default" w:ascii="Times New Roman" w:hAnsi="Times New Roman" w:eastAsia="仿宋_GB2312" w:cs="Times New Roman"/>
          <w:b/>
          <w:bCs/>
          <w:color w:val="auto"/>
          <w:sz w:val="32"/>
          <w:szCs w:val="32"/>
          <w:lang w:val="en-US" w:eastAsia="zh-Hans"/>
        </w:rPr>
        <w:t xml:space="preserve">街道</w:t>
      </w:r>
      <w:r>
        <w:rPr>
          <w:rFonts w:hint="default" w:ascii="Times New Roman" w:hAnsi="Times New Roman" w:eastAsia="仿宋_GB2312" w:cs="Times New Roman"/>
          <w:b/>
          <w:bCs/>
          <w:color w:val="auto"/>
          <w:sz w:val="32"/>
          <w:szCs w:val="32"/>
          <w:lang w:val="en-US" w:eastAsia="zh-CN"/>
        </w:rPr>
        <w:t xml:space="preserve">）</w:t>
      </w:r>
      <w:r>
        <w:rPr>
          <w:rFonts w:hint="default" w:ascii="Times New Roman" w:hAnsi="Times New Roman" w:eastAsia="仿宋_GB2312" w:cs="Times New Roman"/>
          <w:b/>
          <w:bCs/>
          <w:color w:val="auto"/>
          <w:sz w:val="32"/>
          <w:szCs w:val="32"/>
          <w:lang w:val="en-US" w:eastAsia="zh-Hans"/>
        </w:rPr>
        <w:t xml:space="preserve">范围具备综合功能的养老服务机构覆盖率</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扣1分。扣分原因：全市具备综合功能的养老服务机构13家，覆盖率为28.3%，低于40%。</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城乡社区综合服务设施面积大于300㎡行政村占比</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，评价得分3分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按照2023年三季度村级综合服务设施面积统计表，随州市行政村综合服务设施面积300㎡以下的行政村数量416个，300-500㎡的行政村数量628个，500㎡以上的行政村数量640个，城乡社区综合服务设施面积300㎡以上行政村占比75.3%。</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b/>
          <w:bCs/>
          <w:color w:val="auto"/>
          <w:sz w:val="32"/>
          <w:szCs w:val="32"/>
          <w:lang w:val="en-US" w:eastAsia="zh-Hans"/>
        </w:rPr>
        <w:t xml:space="preserve">养老机构培训期数</w:t>
      </w:r>
      <w:r>
        <w:rPr>
          <w:rFonts w:hint="default" w:ascii="Times New Roman" w:hAnsi="Times New Roman" w:eastAsia="仿宋_GB2312" w:cs="Times New Roman"/>
          <w:color w:val="auto"/>
          <w:sz w:val="32"/>
          <w:szCs w:val="32"/>
          <w:lang w:val="en-US" w:eastAsia="zh-CN"/>
        </w:rPr>
        <w:t xml:space="preserve">指标权重2</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，评价得分2分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无扣分。2023年8月28日至30日，全市养老机构院长培训班举行，来自全市各地各级养老机构院长（负责人）120余人参加培训。</w:t>
      </w:r>
      <w:r>
        <w:rPr>
          <w:rFonts w:hint="default" w:ascii="Times New Roman" w:hAnsi="Times New Roman" w:eastAsia="仿宋_GB2312" w:cs="Times New Roman"/>
          <w:color w:val="auto"/>
          <w:sz w:val="32"/>
          <w:szCs w:val="32"/>
          <w:lang w:val="en-US" w:eastAsia="zh-Hans"/>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Hans"/>
        </w:rPr>
        <w:t xml:space="preserve">2.3.3.</w:t>
      </w:r>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产出</w:t>
      </w:r>
      <w:r>
        <w:rPr>
          <w:rFonts w:hint="default" w:ascii="Times New Roman" w:hAnsi="Times New Roman" w:eastAsia="楷体_GB2312" w:cs="Times New Roman"/>
          <w:color w:val="auto"/>
          <w:sz w:val="32"/>
          <w:szCs w:val="32"/>
          <w:lang w:val="en-US" w:eastAsia="zh-CN"/>
        </w:rPr>
        <w:t xml:space="preserve">质量</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产出质量</w:t>
      </w:r>
      <w:r>
        <w:rPr>
          <w:rFonts w:hint="default" w:ascii="Times New Roman" w:hAnsi="Times New Roman" w:eastAsia="仿宋_GB2312" w:cs="Times New Roman"/>
          <w:color w:val="auto"/>
          <w:sz w:val="32"/>
          <w:szCs w:val="32"/>
          <w:lang w:val="en-US" w:eastAsia="zh-CN"/>
        </w:rPr>
        <w:t xml:space="preserve">下设4个三级指标</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用于养老服务业的彩票公益金占比</w:t>
      </w:r>
      <w:r>
        <w:rPr>
          <w:rFonts w:hint="default" w:ascii="Times New Roman" w:hAnsi="Times New Roman" w:eastAsia="仿宋_GB2312" w:cs="Times New Roman"/>
          <w:color w:val="auto"/>
          <w:sz w:val="32"/>
          <w:szCs w:val="32"/>
          <w:lang w:val="en-US" w:eastAsia="zh-CN"/>
        </w:rPr>
        <w:t xml:space="preserve">指标权重4</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，评价得分4分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无扣分。用于养老服务业的资金占比大于55%。</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养老机构服务和管理规范化</w:t>
      </w:r>
      <w:r>
        <w:rPr>
          <w:rFonts w:hint="default" w:ascii="Times New Roman" w:hAnsi="Times New Roman" w:eastAsia="仿宋_GB2312" w:cs="Times New Roman"/>
          <w:color w:val="auto"/>
          <w:sz w:val="32"/>
          <w:szCs w:val="32"/>
          <w:lang w:val="en-US" w:eastAsia="zh-CN"/>
        </w:rPr>
        <w:t xml:space="preserve">程度指标权重4</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，评价得分4分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无扣分。当年养老服务监管效能逐步增强。</w:t>
      </w:r>
      <w:r>
        <w:rPr>
          <w:rFonts w:hint="default" w:ascii="Times New Roman" w:hAnsi="Times New Roman" w:eastAsia="仿宋_GB2312" w:cs="Times New Roman"/>
          <w:b/>
          <w:bCs/>
          <w:color w:val="auto"/>
          <w:sz w:val="32"/>
          <w:szCs w:val="32"/>
          <w:lang w:val="en-US" w:eastAsia="zh-CN"/>
        </w:rPr>
        <w:t xml:space="preserve">一是</w:t>
      </w:r>
      <w:r>
        <w:rPr>
          <w:rFonts w:hint="default" w:ascii="Times New Roman" w:hAnsi="Times New Roman" w:eastAsia="仿宋_GB2312" w:cs="Times New Roman"/>
          <w:b w:val="0"/>
          <w:bCs w:val="0"/>
          <w:color w:val="auto"/>
          <w:sz w:val="32"/>
          <w:szCs w:val="32"/>
          <w:lang w:val="en-US" w:eastAsia="zh-CN"/>
        </w:rPr>
        <w:t xml:space="preserve">开展养老机构等级评定。组织开展了2023年度等级评定工作，共40家养老机构获评，其中获评1级养</w:t>
      </w:r>
      <w:r>
        <w:rPr>
          <w:rFonts w:hint="default" w:ascii="Times New Roman" w:hAnsi="Times New Roman" w:eastAsia="仿宋_GB2312" w:cs="Times New Roman"/>
          <w:color w:val="auto"/>
          <w:sz w:val="32"/>
          <w:szCs w:val="32"/>
          <w:lang w:val="en-US" w:eastAsia="zh-CN"/>
        </w:rPr>
        <w:t xml:space="preserve">老机构17家，2级23家。</w:t>
      </w:r>
      <w:r>
        <w:rPr>
          <w:rFonts w:hint="default" w:ascii="Times New Roman" w:hAnsi="Times New Roman" w:eastAsia="仿宋_GB2312" w:cs="Times New Roman"/>
          <w:b/>
          <w:bCs/>
          <w:color w:val="auto"/>
          <w:sz w:val="32"/>
          <w:szCs w:val="32"/>
          <w:lang w:val="en-US" w:eastAsia="zh-CN"/>
        </w:rPr>
        <w:t xml:space="preserve">二是</w:t>
      </w:r>
      <w:r>
        <w:rPr>
          <w:rFonts w:hint="default" w:ascii="Times New Roman" w:hAnsi="Times New Roman" w:eastAsia="仿宋_GB2312" w:cs="Times New Roman"/>
          <w:b w:val="0"/>
          <w:bCs w:val="0"/>
          <w:color w:val="auto"/>
          <w:sz w:val="32"/>
          <w:szCs w:val="32"/>
          <w:lang w:val="en-US" w:eastAsia="zh-CN"/>
        </w:rPr>
        <w:t xml:space="preserve">成功举办养老机构院长培训班。8月28至</w:t>
      </w:r>
      <w:r>
        <w:rPr>
          <w:rFonts w:hint="default" w:ascii="Times New Roman" w:hAnsi="Times New Roman" w:eastAsia="仿宋_GB2312" w:cs="Times New Roman"/>
          <w:color w:val="auto"/>
          <w:sz w:val="32"/>
          <w:szCs w:val="32"/>
          <w:lang w:val="en-US" w:eastAsia="zh-CN"/>
        </w:rPr>
        <w:t xml:space="preserve">30日，全市共120余名养老机构负责人和各县市区民政局养老工作人员参训。</w:t>
      </w:r>
      <w:r>
        <w:rPr>
          <w:rFonts w:hint="default" w:ascii="Times New Roman" w:hAnsi="Times New Roman" w:eastAsia="仿宋_GB2312" w:cs="Times New Roman"/>
          <w:b/>
          <w:bCs/>
          <w:color w:val="auto"/>
          <w:sz w:val="32"/>
          <w:szCs w:val="32"/>
          <w:lang w:val="en-US" w:eastAsia="zh-CN"/>
        </w:rPr>
        <w:t xml:space="preserve">三是</w:t>
      </w:r>
      <w:r>
        <w:rPr>
          <w:rFonts w:hint="default" w:ascii="Times New Roman" w:hAnsi="Times New Roman" w:eastAsia="仿宋_GB2312" w:cs="Times New Roman"/>
          <w:b w:val="0"/>
          <w:bCs w:val="0"/>
          <w:color w:val="auto"/>
          <w:sz w:val="32"/>
          <w:szCs w:val="32"/>
          <w:lang w:val="en-US" w:eastAsia="zh-CN"/>
        </w:rPr>
        <w:t xml:space="preserve">持续开展公建民营。推动与省康养集团合作，依托随县社会福利院，打</w:t>
      </w:r>
      <w:r>
        <w:rPr>
          <w:rFonts w:hint="default" w:ascii="Times New Roman" w:hAnsi="Times New Roman" w:eastAsia="仿宋_GB2312" w:cs="Times New Roman"/>
          <w:color w:val="auto"/>
          <w:sz w:val="32"/>
          <w:szCs w:val="32"/>
          <w:lang w:val="en-US" w:eastAsia="zh-CN"/>
        </w:rPr>
        <w:t xml:space="preserve">造“中国最美乡村福利院”；依托随县尚市镇农村福利院，发展“公建公营”中高端养老。</w:t>
      </w:r>
      <w:r>
        <w:rPr>
          <w:rFonts w:hint="default" w:ascii="Times New Roman" w:hAnsi="Times New Roman" w:eastAsia="仿宋_GB2312" w:cs="Times New Roman"/>
          <w:b/>
          <w:bCs/>
          <w:color w:val="auto"/>
          <w:sz w:val="32"/>
          <w:szCs w:val="32"/>
          <w:lang w:val="en-US" w:eastAsia="zh-CN"/>
        </w:rPr>
        <w:t xml:space="preserve">四是</w:t>
      </w:r>
      <w:r>
        <w:rPr>
          <w:rFonts w:hint="default" w:ascii="Times New Roman" w:hAnsi="Times New Roman" w:eastAsia="仿宋_GB2312" w:cs="Times New Roman"/>
          <w:b w:val="0"/>
          <w:bCs w:val="0"/>
          <w:color w:val="auto"/>
          <w:sz w:val="32"/>
          <w:szCs w:val="32"/>
          <w:lang w:val="en-US" w:eastAsia="zh-CN"/>
        </w:rPr>
        <w:t xml:space="preserve">持续开展特困供养机构改革。各</w:t>
      </w:r>
      <w:r>
        <w:rPr>
          <w:rFonts w:hint="default" w:ascii="Times New Roman" w:hAnsi="Times New Roman" w:eastAsia="仿宋_GB2312" w:cs="Times New Roman"/>
          <w:color w:val="auto"/>
          <w:sz w:val="32"/>
          <w:szCs w:val="32"/>
          <w:lang w:val="en-US" w:eastAsia="zh-CN"/>
        </w:rPr>
        <w:t xml:space="preserve">县市区按要求开展了特困供养机构县级直管；新（改）建了失能特困人员集中照护中心；广水市在全市率先成立养老服务指导中心，随县也相继成立了养老服务指导中心。</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儿童养治教康护理服务开展质量</w:t>
      </w:r>
      <w:r>
        <w:rPr>
          <w:rFonts w:hint="default" w:ascii="Times New Roman" w:hAnsi="Times New Roman" w:eastAsia="仿宋_GB2312" w:cs="Times New Roman"/>
          <w:color w:val="auto"/>
          <w:sz w:val="32"/>
          <w:szCs w:val="32"/>
          <w:lang w:val="en-US" w:eastAsia="zh-CN"/>
        </w:rPr>
        <w:t xml:space="preserve">指标权重4</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，评价得分4分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无扣分。截至2023年12月，市儿童福利院共接收社会弃婴、孤残儿童、打拐解救儿童110余名，目前在院集中供养儿童41名，其中：婴</w:t>
      </w:r>
      <w:r>
        <w:rPr>
          <w:rFonts w:hint="default" w:ascii="Times New Roman" w:hAnsi="Times New Roman" w:eastAsia="仿宋_GB2312" w:cs="Times New Roman"/>
          <w:color w:val="auto"/>
          <w:sz w:val="32"/>
          <w:szCs w:val="32"/>
          <w:lang w:val="en-US" w:eastAsia="zh-CN"/>
        </w:rPr>
        <w:t xml:space="preserve">儿6名、学龄儿童27名、特教儿童8名。当年全面落实精细化养育工作，秉承人性化、亲情化、规范化的服务理念，按照标准化工作护理流程对孩子进行精心呵护。实施精准化医疗工作，对新入院弃婴（儿）进行严格的身体健康检查；定期对儿童进行体检、免疫接种，做好日常医疗护理、疾病预防及病残儿童的医疗救治工作。推行优质化教育工作，实施分类教育，正常儿童接受九年义务教育并注重德、智、体、美全面发展。开展标准化康复工作，通过开展引导式教育、特殊儿童的心理教育和康复训练、行为矫治等活动，关注残障儿童的身体康复、心理康复，提高生活质量。</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县级公益性安葬（放）设施建设</w:t>
      </w:r>
      <w:r>
        <w:rPr>
          <w:rFonts w:hint="default" w:ascii="Times New Roman" w:hAnsi="Times New Roman" w:eastAsia="仿宋_GB2312" w:cs="Times New Roman"/>
          <w:color w:val="auto"/>
          <w:sz w:val="32"/>
          <w:szCs w:val="32"/>
          <w:lang w:val="en-US" w:eastAsia="zh-CN"/>
        </w:rPr>
        <w:t xml:space="preserve">指标权重3</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，评价得分3分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项目单位自2021年启动殡葬改革工作，全力以赴推进殡葬设施建设，累计投入2.75亿元，建设县级城市公益性公墓3个、镇级45个、村级749个，实现了三级全覆盖。规划建设镇级殡仪服务中心，解决群众无处治丧难题。</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Hans"/>
        </w:rPr>
        <w:t xml:space="preserve">2.3.3.</w:t>
      </w:r>
      <w:r>
        <w:rPr>
          <w:rFonts w:hint="default" w:ascii="Times New Roman" w:hAnsi="Times New Roman" w:eastAsia="楷体_GB2312" w:cs="Times New Roman"/>
          <w:color w:val="auto"/>
          <w:sz w:val="32"/>
          <w:szCs w:val="32"/>
          <w:lang w:val="en-US" w:eastAsia="zh-CN"/>
        </w:rPr>
        <w:t xml:space="preserve">3</w:t>
      </w:r>
      <w:r>
        <w:rPr>
          <w:rFonts w:hint="default" w:ascii="Times New Roman" w:hAnsi="Times New Roman" w:eastAsia="楷体_GB2312" w:cs="Times New Roman"/>
          <w:color w:val="auto"/>
          <w:sz w:val="32"/>
          <w:szCs w:val="32"/>
          <w:lang w:val="en-US" w:eastAsia="zh-Hans"/>
        </w:rPr>
        <w:t xml:space="preserve">产出</w:t>
      </w:r>
      <w:r>
        <w:rPr>
          <w:rFonts w:hint="default" w:ascii="Times New Roman" w:hAnsi="Times New Roman" w:eastAsia="楷体_GB2312" w:cs="Times New Roman"/>
          <w:color w:val="auto"/>
          <w:sz w:val="32"/>
          <w:szCs w:val="32"/>
          <w:lang w:val="en-US" w:eastAsia="zh-CN"/>
        </w:rPr>
        <w:t xml:space="preserve">成本</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Hans"/>
        </w:rPr>
        <w:t xml:space="preserve">产出</w:t>
      </w:r>
      <w:r>
        <w:rPr>
          <w:rFonts w:hint="default" w:ascii="Times New Roman" w:hAnsi="Times New Roman" w:eastAsia="仿宋_GB2312" w:cs="Times New Roman"/>
          <w:color w:val="auto"/>
          <w:sz w:val="32"/>
          <w:szCs w:val="32"/>
          <w:lang w:val="en-US" w:eastAsia="zh-CN"/>
        </w:rPr>
        <w:t xml:space="preserve">成本下设1个三级指标。</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b/>
          <w:bCs/>
          <w:color w:val="auto"/>
          <w:sz w:val="32"/>
          <w:szCs w:val="32"/>
          <w:lang w:val="en-US" w:eastAsia="zh-Hans"/>
        </w:rPr>
        <w:t xml:space="preserve">整体成本是否控制在年初目标值内</w:t>
      </w:r>
      <w:r>
        <w:rPr>
          <w:rFonts w:hint="default" w:ascii="Times New Roman" w:hAnsi="Times New Roman" w:eastAsia="仿宋_GB2312" w:cs="Times New Roman"/>
          <w:color w:val="auto"/>
          <w:sz w:val="32"/>
          <w:szCs w:val="32"/>
          <w:lang w:val="en-US" w:eastAsia="zh-CN"/>
        </w:rPr>
        <w:t xml:space="preserve">指标权重4</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，评价得分4分，无扣分。项目当年成本控制情况较好。</w:t>
      </w:r>
      <w:r>
        <w:rPr>
          <w:rFonts w:hint="default" w:ascii="Times New Roman" w:hAnsi="Times New Roman" w:eastAsia="仿宋_GB2312" w:cs="Times New Roman"/>
          <w:color w:val="auto"/>
          <w:sz w:val="32"/>
          <w:szCs w:val="32"/>
          <w:lang w:val="en-US" w:eastAsia="zh-Hans"/>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bookmarkStart w:id="236" w:name="_Toc12863"/>
      <w:r/>
      <w:bookmarkStart w:id="237" w:name="_Toc23377"/>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.3.4</w:t>
      </w:r>
      <w:r>
        <w:rPr>
          <w:rFonts w:hint="default" w:ascii="Times New Roman" w:hAnsi="Times New Roman" w:eastAsia="楷体_GB2312" w:cs="Times New Roman"/>
          <w:color w:val="auto"/>
          <w:sz w:val="32"/>
          <w:szCs w:val="32"/>
          <w:lang w:val="en-US" w:eastAsia="zh-CN"/>
        </w:rPr>
        <w:t xml:space="preserve">项目效果情况分析（30分）</w:t>
      </w:r>
      <w:bookmarkEnd w:id="236"/>
      <w:r/>
      <w:bookmarkEnd w:id="237"/>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效果指标权重30分，评价得分30分。下设2个二级指标：实施效益</w:t>
      </w:r>
      <w:r>
        <w:rPr>
          <w:rFonts w:hint="default" w:ascii="Times New Roman" w:hAnsi="Times New Roman" w:eastAsia="仿宋_GB2312" w:cs="Times New Roman"/>
          <w:color w:val="auto"/>
          <w:sz w:val="32"/>
          <w:szCs w:val="32"/>
          <w:lang w:eastAsia="zh-Hans"/>
        </w:rPr>
        <w:t xml:space="preserve">指标</w:t>
      </w:r>
      <w:r>
        <w:rPr>
          <w:rFonts w:hint="default" w:ascii="Times New Roman" w:hAnsi="Times New Roman" w:eastAsia="仿宋_GB2312" w:cs="Times New Roman"/>
          <w:color w:val="auto"/>
          <w:sz w:val="32"/>
          <w:szCs w:val="32"/>
          <w:lang w:val="en-US" w:eastAsia="zh-CN"/>
        </w:rPr>
        <w:t xml:space="preserve">和</w:t>
      </w:r>
      <w:r>
        <w:rPr>
          <w:rFonts w:hint="default" w:ascii="Times New Roman" w:hAnsi="Times New Roman" w:eastAsia="仿宋_GB2312" w:cs="Times New Roman"/>
          <w:color w:val="auto"/>
          <w:sz w:val="32"/>
          <w:szCs w:val="32"/>
          <w:lang w:eastAsia="zh-Hans"/>
        </w:rPr>
        <w:t xml:space="preserve">满意度指标</w:t>
      </w:r>
      <w:r>
        <w:rPr>
          <w:rFonts w:hint="default" w:ascii="Times New Roman" w:hAnsi="Times New Roman" w:eastAsia="仿宋_GB2312" w:cs="Times New Roman"/>
          <w:color w:val="auto"/>
          <w:sz w:val="32"/>
          <w:szCs w:val="32"/>
        </w:rPr>
        <w:t xml:space="preserve">。</w:t>
      </w:r>
      <w:r>
        <w:rPr>
          <w:rFonts w:hint="default" w:ascii="Times New Roman" w:hAnsi="Times New Roman" w:eastAsia="仿宋_GB2312" w:cs="Times New Roman"/>
          <w:color w:val="auto"/>
          <w:sz w:val="32"/>
          <w:szCs w:val="32"/>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rPr>
          <w:rFonts w:hint="default" w:ascii="Times New Roman" w:hAnsi="Times New Roman" w:eastAsia="楷体_GB2312" w:cs="Times New Roman"/>
          <w:color w:val="auto"/>
          <w:sz w:val="32"/>
          <w:szCs w:val="32"/>
          <w:lang w:val="en-US" w:eastAsia="zh-Hans"/>
        </w:rPr>
        <w:t xml:space="preserve">2.3.</w:t>
      </w:r>
      <w:r>
        <w:rPr>
          <w:rFonts w:hint="default" w:ascii="Times New Roman" w:hAnsi="Times New Roman" w:eastAsia="楷体_GB2312" w:cs="Times New Roman"/>
          <w:color w:val="auto"/>
          <w:sz w:val="32"/>
          <w:szCs w:val="32"/>
          <w:lang w:val="en-US" w:eastAsia="zh-CN"/>
        </w:rPr>
        <w:t xml:space="preserve">4</w:t>
      </w:r>
      <w:r>
        <w:rPr>
          <w:rFonts w:hint="default" w:ascii="Times New Roman" w:hAnsi="Times New Roman" w:eastAsia="楷体_GB2312" w:cs="Times New Roman"/>
          <w:color w:val="auto"/>
          <w:sz w:val="32"/>
          <w:szCs w:val="32"/>
          <w:lang w:val="en-US" w:eastAsia="zh-Hans"/>
        </w:rPr>
        <w:t xml:space="preserve">.1实施效益</w:t>
      </w:r>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 xml:space="preserve">实施效益</w:t>
      </w:r>
      <w:r>
        <w:rPr>
          <w:rFonts w:hint="default" w:ascii="Times New Roman" w:hAnsi="Times New Roman" w:eastAsia="仿宋_GB2312" w:cs="Times New Roman"/>
          <w:color w:val="auto"/>
          <w:sz w:val="32"/>
          <w:szCs w:val="32"/>
          <w:lang w:val="en-US" w:eastAsia="zh-CN"/>
        </w:rPr>
        <w:t xml:space="preserve">下设1个三级指标：社会效益</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lang w:val="en-US" w:eastAsia="zh-CN"/>
        </w:rPr>
        <w:t xml:space="preserve">其中：</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社会养老服务体系建设</w:t>
      </w:r>
      <w:r>
        <w:rPr>
          <w:rFonts w:hint="default" w:ascii="Times New Roman" w:hAnsi="Times New Roman" w:eastAsia="仿宋_GB2312" w:cs="Times New Roman"/>
          <w:color w:val="auto"/>
          <w:sz w:val="32"/>
          <w:szCs w:val="32"/>
          <w:lang w:val="en-US" w:eastAsia="zh-CN"/>
        </w:rPr>
        <w:t xml:space="preserve">指标权重7</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，评价得分7分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无扣分。项目单位积极争取市委市政府</w:t>
      </w:r>
      <w:r>
        <w:rPr>
          <w:rFonts w:hint="default" w:ascii="Times New Roman" w:hAnsi="Times New Roman" w:eastAsia="仿宋_GB2312" w:cs="Times New Roman"/>
          <w:color w:val="auto"/>
          <w:sz w:val="32"/>
          <w:szCs w:val="32"/>
          <w:lang w:val="en-US" w:eastAsia="zh-CN"/>
        </w:rPr>
        <w:t xml:space="preserve">重视力度，市委常委会、市政府常务会专题研究部署养老工作，市政府2次召开养老工作专题会议，市政府主要领导亲自参加并做重要指示。先后出台《关于加强城乡养老服务联合体建设的工作方案》《随州市推进养老事业和养老产业高质量发展三年行动计划（2023—2025年）的通知》等纲领性文件，对养老工作进行具体安排部署。市级成立了以市政府主要领导任组长、分管领导任副组长、市直29个单位（部门）主要负责人为成员的随州市推进养老事业和养老产业高质量发展领导小组，负责全市养老工作的统筹协调、整体推进、督促落实，养老工作得到空前重视。</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社会工作者服务能力和社会组织管理水平</w:t>
      </w:r>
      <w:r>
        <w:rPr>
          <w:rFonts w:hint="default" w:ascii="Times New Roman" w:hAnsi="Times New Roman" w:eastAsia="仿宋_GB2312" w:cs="Times New Roman"/>
          <w:color w:val="auto"/>
          <w:sz w:val="32"/>
          <w:szCs w:val="32"/>
          <w:lang w:val="en-US" w:eastAsia="zh-CN"/>
        </w:rPr>
        <w:t xml:space="preserve">指标权重7</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7分，无扣分。2023年度组织实施了“随州市市级社会组织培育发展项目”“随州市社会工作督导及能力提升项目”“随州市社区社会组织公益创投大赛项目”等多个项目。依托项目开展社会组织负责人培训班等10多场培训，累计2200余人次参与培训；维护运营随州社会组织网站、微信公众号，截至2023年12月，累计发布宣传信息稿500余篇；制作随州社会组织动态12期，整体期刊页数200余页；开展社会工作案例评选活动，收集了全市55篇社会工作案例，通过案例初审挑选了18篇入围案例，组织评选公益创投项目16个。</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项目的实施进一步规范社会组织内部建设，提升了社会组织管理能力，推动了随州市社会组织规范化发展；拓宽了社会工作者的视野，提升社会工作从业人员、社区工作者的专业素养，有效推进随州市社会工作专业人才队伍建设；孵化了一批社区社会组织，带动了志愿服务力量，助力五社联动。</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村（社区）基层治理水平</w:t>
      </w:r>
      <w:r>
        <w:rPr>
          <w:rFonts w:hint="default" w:ascii="Times New Roman" w:hAnsi="Times New Roman" w:eastAsia="仿宋_GB2312" w:cs="Times New Roman"/>
          <w:color w:val="auto"/>
          <w:sz w:val="32"/>
          <w:szCs w:val="32"/>
          <w:lang w:val="en-US" w:eastAsia="zh-CN"/>
        </w:rPr>
        <w:t xml:space="preserve">指标权重6</w:t>
      </w:r>
      <w:r>
        <w:rPr>
          <w:rFonts w:hint="default" w:ascii="Times New Roman" w:hAnsi="Times New Roman" w:eastAsia="仿宋_GB2312" w:cs="Times New Roman"/>
          <w:color w:val="auto"/>
          <w:sz w:val="32"/>
          <w:szCs w:val="32"/>
          <w:lang w:val="en-US" w:eastAsia="zh-Hans"/>
        </w:rPr>
        <w:t xml:space="preserve">分</w:t>
      </w:r>
      <w:r>
        <w:rPr>
          <w:rFonts w:hint="default" w:ascii="Times New Roman" w:hAnsi="Times New Roman" w:eastAsia="仿宋_GB2312" w:cs="Times New Roman"/>
          <w:color w:val="auto"/>
          <w:sz w:val="32"/>
          <w:szCs w:val="32"/>
          <w:lang w:val="en-US" w:eastAsia="zh-CN"/>
        </w:rPr>
        <w:t xml:space="preserve">，评价得分6分</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lang w:val="en-US" w:eastAsia="zh-CN"/>
        </w:rPr>
        <w:t xml:space="preserve">无扣分。项目单位村（社区）基层治理水平提升明显。</w:t>
      </w:r>
      <w:r>
        <w:rPr>
          <w:rFonts w:hint="default" w:ascii="Times New Roman" w:hAnsi="Times New Roman" w:eastAsia="仿宋_GB2312" w:cs="Times New Roman"/>
          <w:b/>
          <w:bCs/>
          <w:color w:val="auto"/>
          <w:sz w:val="32"/>
          <w:szCs w:val="32"/>
          <w:lang w:val="en-US" w:eastAsia="zh-CN"/>
        </w:rPr>
        <w:t xml:space="preserve">一是</w:t>
      </w:r>
      <w:r>
        <w:rPr>
          <w:rFonts w:hint="default" w:ascii="Times New Roman" w:hAnsi="Times New Roman" w:eastAsia="仿宋_GB2312" w:cs="Times New Roman"/>
          <w:color w:val="auto"/>
          <w:sz w:val="32"/>
          <w:szCs w:val="32"/>
          <w:lang w:val="en-US" w:eastAsia="zh-CN"/>
        </w:rPr>
        <w:t xml:space="preserve">规范阵地建设。持续推进城乡社区综合服务设施建设提升，重点支持草店子社区、风光社区、金锣山村补齐综合服务设施短板。推进完整社区试点建设，印发《随州市完整社区建设工作实施方案》等文件，会同市住建局组建工作专班，指导10个试点社区，编制完整社区建设试点工作方案，明确试点建设项目，打造10个完整社区。</w:t>
      </w:r>
      <w:r>
        <w:rPr>
          <w:rFonts w:hint="default" w:ascii="Times New Roman" w:hAnsi="Times New Roman" w:eastAsia="仿宋_GB2312" w:cs="Times New Roman"/>
          <w:b/>
          <w:bCs/>
          <w:color w:val="auto"/>
          <w:sz w:val="32"/>
          <w:szCs w:val="32"/>
          <w:lang w:val="en-US" w:eastAsia="zh-CN"/>
        </w:rPr>
        <w:t xml:space="preserve">二是</w:t>
      </w:r>
      <w:r>
        <w:rPr>
          <w:rFonts w:hint="default" w:ascii="Times New Roman" w:hAnsi="Times New Roman" w:eastAsia="仿宋_GB2312" w:cs="Times New Roman"/>
          <w:color w:val="auto"/>
          <w:sz w:val="32"/>
          <w:szCs w:val="32"/>
          <w:lang w:val="en-US" w:eastAsia="zh-CN"/>
        </w:rPr>
        <w:t xml:space="preserve">规范自治机制。印发《随州市进一步推进基层群众性自治组织规范化建设实施方案》，指导广水市做实村民小组、曾都区规范社区规模调整、随县规范化开展议事协商。加强城市社区工作者队伍建设，面向高校毕业生招聘社区工作者70人，全市1081名城市社区工作者全覆盖开展岗位培训。</w:t>
      </w:r>
      <w:r>
        <w:rPr>
          <w:rFonts w:hint="default" w:ascii="Times New Roman" w:hAnsi="Times New Roman" w:eastAsia="仿宋_GB2312" w:cs="Times New Roman"/>
          <w:b/>
          <w:bCs/>
          <w:color w:val="auto"/>
          <w:sz w:val="32"/>
          <w:szCs w:val="32"/>
          <w:lang w:val="en-US" w:eastAsia="zh-CN"/>
        </w:rPr>
        <w:t xml:space="preserve">三是</w:t>
      </w:r>
      <w:r>
        <w:rPr>
          <w:rFonts w:hint="default" w:ascii="Times New Roman" w:hAnsi="Times New Roman" w:eastAsia="仿宋_GB2312" w:cs="Times New Roman"/>
          <w:color w:val="auto"/>
          <w:sz w:val="32"/>
          <w:szCs w:val="32"/>
          <w:lang w:val="en-US" w:eastAsia="zh-CN"/>
        </w:rPr>
        <w:t xml:space="preserve">规范职能事务。开展村（社区）减负增效专题调研，提请市委办、市政府印发《关于规范村（社区）工作事务、机制牌子和证明事项的通知》，市民政局、市委组织部、市委农办联合印发《关于规范村（社区）工作事务、机制牌子和证明事项的指导目录》。</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Hans"/>
        </w:rPr>
        <w:t xml:space="preserve">2.3.</w:t>
      </w:r>
      <w:r>
        <w:rPr>
          <w:rFonts w:hint="default" w:ascii="Times New Roman" w:hAnsi="Times New Roman" w:eastAsia="楷体_GB2312" w:cs="Times New Roman"/>
          <w:color w:val="auto"/>
          <w:sz w:val="32"/>
          <w:szCs w:val="32"/>
          <w:lang w:val="en-US" w:eastAsia="zh-CN"/>
        </w:rPr>
        <w:t xml:space="preserve">4</w:t>
      </w:r>
      <w:r>
        <w:rPr>
          <w:rFonts w:hint="default" w:ascii="Times New Roman" w:hAnsi="Times New Roman" w:eastAsia="楷体_GB2312" w:cs="Times New Roman"/>
          <w:color w:val="auto"/>
          <w:sz w:val="32"/>
          <w:szCs w:val="32"/>
          <w:lang w:val="en-US" w:eastAsia="zh-Hans"/>
        </w:rPr>
        <w:t xml:space="preserve">.2</w:t>
      </w:r>
      <w:r>
        <w:rPr>
          <w:rFonts w:hint="default" w:ascii="Times New Roman" w:hAnsi="Times New Roman" w:eastAsia="楷体_GB2312" w:cs="Times New Roman"/>
          <w:color w:val="auto"/>
          <w:sz w:val="32"/>
          <w:szCs w:val="32"/>
          <w:lang w:val="en-US" w:eastAsia="zh-CN"/>
        </w:rPr>
        <w:t xml:space="preserve">满意度</w:t>
      </w:r>
      <w:r>
        <w:rPr>
          <w:rFonts w:hint="default" w:ascii="Times New Roman" w:hAnsi="Times New Roman" w:eastAsia="楷体_GB2312" w:cs="Times New Roman"/>
          <w:color w:val="auto"/>
          <w:sz w:val="32"/>
          <w:szCs w:val="32"/>
          <w:lang w:val="en-US"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满意度下设1个三级指标：</w:t>
      </w:r>
      <w:r>
        <w:rPr>
          <w:rFonts w:hint="default" w:ascii="Times New Roman" w:hAnsi="Times New Roman" w:eastAsia="仿宋_GB2312" w:cs="Times New Roman"/>
          <w:color w:val="auto"/>
          <w:sz w:val="32"/>
          <w:szCs w:val="32"/>
          <w:lang w:val="en-US" w:eastAsia="zh-Hans"/>
        </w:rPr>
        <w:t xml:space="preserve">服务对象满意度</w:t>
      </w:r>
      <w:r>
        <w:rPr>
          <w:rFonts w:hint="default" w:ascii="Times New Roman" w:hAnsi="Times New Roman" w:eastAsia="仿宋_GB2312" w:cs="Times New Roman"/>
          <w:color w:val="auto"/>
          <w:sz w:val="32"/>
          <w:szCs w:val="32"/>
          <w:lang w:eastAsia="zh-Hans"/>
        </w:rPr>
        <w:t xml:space="preserve">。</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right="0" w:firstLine="643"/>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Hans"/>
        </w:rPr>
        <w:t xml:space="preserve">服务对象满意度</w:t>
      </w:r>
      <w:r>
        <w:rPr>
          <w:rFonts w:hint="default" w:ascii="Times New Roman" w:hAnsi="Times New Roman" w:eastAsia="仿宋_GB2312" w:cs="Times New Roman"/>
          <w:color w:val="auto"/>
          <w:sz w:val="32"/>
          <w:szCs w:val="32"/>
          <w:lang w:val="en-US" w:eastAsia="zh-CN"/>
        </w:rPr>
        <w:t xml:space="preserve">指标权重10分，评价得分10分，无扣分。此次绩效评价小组通过线上小程序开展了问卷调查，收集到53份调查结果。选取满意度调查问卷第3、4、5、6个问题的满意及以上样本的占比，综合测算得出</w:t>
      </w:r>
      <w:r>
        <w:rPr>
          <w:rFonts w:hint="default" w:ascii="Times New Roman" w:hAnsi="Times New Roman" w:eastAsia="仿宋_GB2312" w:cs="Times New Roman"/>
          <w:color w:val="auto"/>
          <w:sz w:val="32"/>
          <w:szCs w:val="32"/>
          <w:lang w:val="en-US" w:eastAsia="zh-Hans"/>
        </w:rPr>
        <w:t xml:space="preserve">服务对象满意度</w:t>
      </w:r>
      <w:r>
        <w:rPr>
          <w:rFonts w:hint="default" w:ascii="Times New Roman" w:hAnsi="Times New Roman" w:eastAsia="仿宋_GB2312" w:cs="Times New Roman"/>
          <w:color w:val="auto"/>
          <w:sz w:val="32"/>
          <w:szCs w:val="32"/>
          <w:lang w:val="en-US" w:eastAsia="zh-CN"/>
        </w:rPr>
        <w:t xml:space="preserve">99.53%。得10分。</w:t>
      </w:r>
      <w:r>
        <w:rPr>
          <w:rFonts w:hint="default" w:ascii="Times New Roman" w:hAnsi="Times New Roman" w:eastAsia="仿宋_GB2312" w:cs="Times New Roman"/>
          <w:color w:val="auto"/>
          <w:sz w:val="32"/>
          <w:szCs w:val="32"/>
          <w:lang w:val="en-US" w:eastAsia="zh-CN"/>
        </w:rPr>
      </w:r>
    </w:p>
    <w:p>
      <w:pPr>
        <w:pStyle w:val="711"/>
        <w:pageBreakBefore w:val="false"/>
        <w:widowControl w:val="false"/>
        <w:pBdr/>
        <w:spacing w:line="620" w:lineRule="exact"/>
        <w:ind w:firstLine="643"/>
        <w:rPr>
          <w:rFonts w:hint="default" w:ascii="Times New Roman" w:hAnsi="Times New Roman" w:eastAsia="楷体_GB2312" w:cs="Times New Roman"/>
          <w:color w:val="auto"/>
          <w:sz w:val="32"/>
          <w:szCs w:val="32"/>
          <w:lang w:val="en-US" w:eastAsia="zh-Hans"/>
        </w:rPr>
      </w:pPr>
      <w:r/>
      <w:bookmarkStart w:id="238" w:name="_Toc31568"/>
      <w:r/>
      <w:bookmarkStart w:id="239" w:name="_Toc1878"/>
      <w:r/>
      <w:bookmarkStart w:id="240" w:name="_Toc1196327599"/>
      <w:r/>
      <w:bookmarkStart w:id="241" w:name="_Toc1227864355"/>
      <w:r/>
      <w:bookmarkStart w:id="242" w:name="_Toc1758090323"/>
      <w:r>
        <w:rPr>
          <w:rFonts w:hint="default" w:ascii="Times New Roman" w:hAnsi="Times New Roman" w:eastAsia="楷体_GB2312" w:cs="Times New Roman"/>
          <w:color w:val="auto"/>
          <w:sz w:val="32"/>
          <w:szCs w:val="32"/>
          <w:lang w:val="en-US" w:eastAsia="zh-CN"/>
        </w:rPr>
        <w:t xml:space="preserve">2</w:t>
      </w:r>
      <w:r>
        <w:rPr>
          <w:rFonts w:hint="default" w:ascii="Times New Roman" w:hAnsi="Times New Roman" w:eastAsia="楷体_GB2312" w:cs="Times New Roman"/>
          <w:color w:val="auto"/>
          <w:sz w:val="32"/>
          <w:szCs w:val="32"/>
          <w:lang w:val="en-US" w:eastAsia="zh-Hans"/>
        </w:rPr>
        <w:t xml:space="preserve">.</w:t>
      </w:r>
      <w:r>
        <w:rPr>
          <w:rFonts w:hint="default" w:ascii="Times New Roman" w:hAnsi="Times New Roman" w:eastAsia="楷体_GB2312" w:cs="Times New Roman"/>
          <w:color w:val="auto"/>
          <w:sz w:val="32"/>
          <w:szCs w:val="32"/>
          <w:lang w:val="en-US" w:eastAsia="zh-CN"/>
        </w:rPr>
        <w:t xml:space="preserve">4</w:t>
      </w:r>
      <w:r>
        <w:rPr>
          <w:rFonts w:hint="default" w:ascii="Times New Roman" w:hAnsi="Times New Roman" w:eastAsia="楷体_GB2312" w:cs="Times New Roman"/>
          <w:color w:val="auto"/>
          <w:sz w:val="32"/>
          <w:szCs w:val="32"/>
          <w:lang w:val="en-US" w:eastAsia="zh-Hans"/>
        </w:rPr>
        <w:t xml:space="preserve">其他佐证材料</w:t>
      </w:r>
      <w:bookmarkEnd w:id="238"/>
      <w:r/>
      <w:bookmarkEnd w:id="239"/>
      <w:r/>
      <w:bookmarkEnd w:id="240"/>
      <w:bookmarkEnd w:id="241"/>
      <w:bookmarkEnd w:id="242"/>
      <w:r>
        <w:rPr>
          <w:rFonts w:hint="default" w:ascii="Times New Roman" w:hAnsi="Times New Roman" w:eastAsia="楷体_GB2312" w:cs="Times New Roman"/>
          <w:color w:val="auto"/>
          <w:sz w:val="32"/>
          <w:szCs w:val="32"/>
          <w:lang w:val="en-US" w:eastAsia="zh-Hans"/>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无。</w:t>
      </w:r>
      <w:r>
        <w:rPr>
          <w:rFonts w:hint="default" w:ascii="Times New Roman" w:hAnsi="Times New Roman" w:eastAsia="仿宋_GB2312" w:cs="Times New Roman"/>
          <w:color w:val="auto"/>
          <w:sz w:val="32"/>
          <w:szCs w:val="32"/>
          <w:lang w:eastAsia="zh-CN"/>
        </w:rPr>
      </w:r>
    </w:p>
    <w:p>
      <w:pPr>
        <w:keepNext w:val="false"/>
        <w:keepLines w:val="false"/>
        <w:pageBreakBefore w:val="false"/>
        <w:widowControl w:val="false"/>
        <w:pBdr/>
        <w:spacing w:line="620" w:lineRule="exact"/>
        <w:ind w:right="0"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right="0" w:firstLine="640" w:left="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r>
      <w:r>
        <w:rPr>
          <w:rFonts w:hint="default" w:ascii="Times New Roman" w:hAnsi="Times New Roman" w:eastAsia="仿宋_GB2312" w:cs="Times New Roman"/>
          <w:color w:val="auto"/>
          <w:sz w:val="32"/>
          <w:szCs w:val="32"/>
          <w:highlight w:val="none"/>
        </w:rPr>
      </w:r>
    </w:p>
    <w:p>
      <w:pPr>
        <w:keepNext w:val="false"/>
        <w:keepLines w:val="false"/>
        <w:pageBreakBefore w:val="false"/>
        <w:widowControl w:val="false"/>
        <w:pBdr/>
        <w:spacing w:line="620" w:lineRule="exact"/>
        <w:ind w:right="0" w:firstLine="320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武汉中昌达会计师事务有限责任公司</w:t>
      </w:r>
      <w:r>
        <w:rPr>
          <w:rFonts w:hint="default" w:ascii="Times New Roman" w:hAnsi="Times New Roman" w:eastAsia="仿宋_GB2312" w:cs="Times New Roman"/>
          <w:color w:val="auto"/>
          <w:sz w:val="32"/>
          <w:szCs w:val="32"/>
          <w:highlight w:val="none"/>
          <w:u w:val="none"/>
        </w:rPr>
      </w:r>
    </w:p>
    <w:p>
      <w:pPr>
        <w:keepNext w:val="false"/>
        <w:keepLines w:val="false"/>
        <w:pageBreakBefore w:val="false"/>
        <w:widowControl w:val="false"/>
        <w:pBdr/>
        <w:spacing w:line="620" w:lineRule="exact"/>
        <w:ind w:right="0" w:firstLine="4160" w:left="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主评人1：</w:t>
      </w:r>
      <w:r>
        <w:rPr>
          <w:rFonts w:hint="default" w:ascii="Times New Roman" w:hAnsi="Times New Roman" w:eastAsia="仿宋_GB2312" w:cs="Times New Roman"/>
          <w:color w:val="auto"/>
          <w:sz w:val="32"/>
          <w:szCs w:val="32"/>
          <w:highlight w:val="none"/>
          <w:u w:val="none"/>
          <w:lang w:val="en-US" w:eastAsia="zh-CN"/>
        </w:rPr>
        <w:t xml:space="preserve">程  慧</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r>
    </w:p>
    <w:p>
      <w:pPr>
        <w:keepNext w:val="false"/>
        <w:keepLines w:val="false"/>
        <w:pageBreakBefore w:val="false"/>
        <w:widowControl w:val="false"/>
        <w:pBdr/>
        <w:spacing w:line="620" w:lineRule="exact"/>
        <w:ind w:right="0" w:firstLine="4160" w:left="0"/>
        <w:jc w:val="both"/>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主评人2：鄢  莉 </w:t>
      </w:r>
      <w:r>
        <w:rPr>
          <w:rFonts w:hint="default" w:ascii="Times New Roman" w:hAnsi="Times New Roman" w:eastAsia="仿宋_GB2312" w:cs="Times New Roman"/>
          <w:color w:val="auto"/>
          <w:sz w:val="32"/>
          <w:szCs w:val="32"/>
          <w:highlight w:val="none"/>
          <w:u w:val="none"/>
        </w:rPr>
      </w:r>
    </w:p>
    <w:p>
      <w:pPr>
        <w:keepNext w:val="false"/>
        <w:keepLines w:val="false"/>
        <w:pageBreakBefore w:val="false"/>
        <w:widowControl w:val="false"/>
        <w:pBdr/>
        <w:spacing w:line="620" w:lineRule="exact"/>
        <w:ind w:right="0" w:firstLine="3840" w:left="0"/>
        <w:jc w:val="both"/>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 xml:space="preserve">时间：</w:t>
      </w:r>
      <w:r>
        <w:rPr>
          <w:rFonts w:hint="default" w:ascii="Times New Roman" w:hAnsi="Times New Roman" w:eastAsia="仿宋_GB2312" w:cs="Times New Roman"/>
          <w:color w:val="auto"/>
          <w:sz w:val="32"/>
          <w:szCs w:val="32"/>
          <w:highlight w:val="none"/>
          <w:u w:val="none"/>
          <w:lang w:val="en-US" w:eastAsia="zh-CN"/>
        </w:rPr>
        <w:t xml:space="preserve">2024年8月20日</w:t>
      </w:r>
      <w:r>
        <w:rPr>
          <w:rFonts w:hint="default" w:ascii="Times New Roman" w:hAnsi="Times New Roman" w:eastAsia="仿宋_GB2312" w:cs="Times New Roman"/>
          <w:color w:val="auto"/>
          <w:sz w:val="32"/>
          <w:szCs w:val="32"/>
          <w:highlight w:val="none"/>
          <w:u w:val="none"/>
          <w:lang w:val="en-US" w:eastAsia="zh-CN"/>
        </w:rPr>
      </w:r>
    </w:p>
    <w:p>
      <w:pPr>
        <w:pBdr/>
        <w:spacing/>
        <w:ind/>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u w:val="single"/>
        </w:rPr>
        <w:br w:type="page" w:clear="all"/>
      </w:r>
      <w:r>
        <w:rPr>
          <w:rFonts w:hint="default" w:ascii="Times New Roman" w:hAnsi="Times New Roman" w:eastAsia="仿宋" w:cs="Times New Roman"/>
          <w:color w:val="auto"/>
          <w:sz w:val="32"/>
          <w:szCs w:val="32"/>
          <w:highlight w:val="none"/>
          <w:u w:val="single"/>
        </w:rPr>
      </w:r>
    </w:p>
    <w:p>
      <w:pPr>
        <w:keepNext w:val="false"/>
        <w:keepLines w:val="false"/>
        <w:pageBreakBefore w:val="false"/>
        <w:widowControl w:val="false"/>
        <w:pBdr/>
        <w:spacing w:line="620" w:lineRule="exact"/>
        <w:ind w:firstLine="0" w:left="0"/>
        <w:jc w:val="center"/>
        <w:rPr>
          <w:rFonts w:hint="default" w:ascii="Times New Roman" w:hAnsi="Times New Roman" w:eastAsia="方正小标宋简体" w:cs="Times New Roman"/>
          <w:b w:val="0"/>
          <w:bCs w:val="0"/>
          <w:color w:val="auto"/>
          <w:sz w:val="40"/>
          <w:szCs w:val="40"/>
          <w:lang w:val="zh-CN"/>
        </w:rPr>
      </w:pPr>
      <w:r/>
      <w:bookmarkStart w:id="243" w:name="_Hlk172448261"/>
      <w:r/>
      <w:bookmarkStart w:id="244" w:name="_Toc28529"/>
      <w:r>
        <w:rPr>
          <w:rFonts w:hint="default" w:ascii="Times New Roman" w:hAnsi="Times New Roman" w:eastAsia="方正小标宋简体" w:cs="Times New Roman"/>
          <w:b w:val="0"/>
          <w:bCs w:val="0"/>
          <w:color w:val="auto"/>
          <w:sz w:val="40"/>
          <w:szCs w:val="40"/>
          <w:lang w:val="zh-CN"/>
        </w:rPr>
        <w:t xml:space="preserve">2023年鄂北水资源配置二期市直工程</w:t>
      </w:r>
      <w:r>
        <w:rPr>
          <w:rFonts w:hint="default" w:ascii="Times New Roman" w:hAnsi="Times New Roman" w:eastAsia="方正小标宋简体" w:cs="Times New Roman"/>
          <w:b w:val="0"/>
          <w:bCs w:val="0"/>
          <w:color w:val="auto"/>
          <w:sz w:val="40"/>
          <w:szCs w:val="40"/>
        </w:rPr>
        <w:t xml:space="preserve">一般</w:t>
      </w:r>
      <w:r>
        <w:rPr>
          <w:rFonts w:hint="default" w:ascii="Times New Roman" w:hAnsi="Times New Roman" w:eastAsia="方正小标宋简体" w:cs="Times New Roman"/>
          <w:b w:val="0"/>
          <w:bCs w:val="0"/>
          <w:color w:val="auto"/>
          <w:sz w:val="40"/>
          <w:szCs w:val="40"/>
          <w:lang w:val="zh-CN"/>
        </w:rPr>
        <w:t xml:space="preserve">债券</w:t>
      </w:r>
      <w:r>
        <w:rPr>
          <w:rFonts w:hint="default" w:ascii="Times New Roman" w:hAnsi="Times New Roman" w:eastAsia="方正小标宋简体" w:cs="Times New Roman"/>
          <w:b w:val="0"/>
          <w:bCs w:val="0"/>
          <w:color w:val="auto"/>
          <w:sz w:val="40"/>
          <w:szCs w:val="40"/>
          <w:lang w:val="zh-CN"/>
        </w:rPr>
      </w:r>
    </w:p>
    <w:p>
      <w:pPr>
        <w:keepNext w:val="false"/>
        <w:keepLines w:val="false"/>
        <w:pageBreakBefore w:val="false"/>
        <w:widowControl w:val="false"/>
        <w:pBdr/>
        <w:spacing w:line="620" w:lineRule="exact"/>
        <w:ind w:firstLine="0" w:left="0"/>
        <w:jc w:val="center"/>
        <w:rPr>
          <w:rFonts w:hint="default" w:ascii="Times New Roman" w:hAnsi="Times New Roman" w:eastAsia="方正小标宋简体" w:cs="Times New Roman"/>
          <w:b w:val="0"/>
          <w:bCs w:val="0"/>
          <w:color w:val="auto"/>
          <w:sz w:val="40"/>
          <w:szCs w:val="40"/>
          <w:lang w:val="zh-CN"/>
        </w:rPr>
      </w:pPr>
      <w:r>
        <w:rPr>
          <w:rFonts w:hint="default" w:ascii="Times New Roman" w:hAnsi="Times New Roman" w:eastAsia="方正小标宋简体" w:cs="Times New Roman"/>
          <w:b w:val="0"/>
          <w:bCs w:val="0"/>
          <w:color w:val="auto"/>
          <w:sz w:val="40"/>
          <w:szCs w:val="40"/>
          <w:lang w:val="zh-CN"/>
        </w:rPr>
        <w:t xml:space="preserve">项目</w:t>
      </w:r>
      <w:bookmarkEnd w:id="243"/>
      <w:r>
        <w:rPr>
          <w:rFonts w:hint="default" w:ascii="Times New Roman" w:hAnsi="Times New Roman" w:eastAsia="方正小标宋简体" w:cs="Times New Roman"/>
          <w:b w:val="0"/>
          <w:bCs w:val="0"/>
          <w:color w:val="auto"/>
          <w:sz w:val="40"/>
          <w:szCs w:val="40"/>
          <w:lang w:val="zh-CN"/>
        </w:rPr>
        <w:t xml:space="preserve">绩效评价报告</w:t>
      </w:r>
      <w:r>
        <w:rPr>
          <w:rFonts w:hint="default" w:ascii="Times New Roman" w:hAnsi="Times New Roman" w:eastAsia="方正小标宋简体" w:cs="Times New Roman"/>
          <w:b w:val="0"/>
          <w:bCs w:val="0"/>
          <w:color w:val="auto"/>
          <w:sz w:val="40"/>
          <w:szCs w:val="40"/>
          <w:lang w:val="zh-CN"/>
        </w:rPr>
      </w:r>
    </w:p>
    <w:p>
      <w:pPr>
        <w:keepNext w:val="false"/>
        <w:keepLines w:val="false"/>
        <w:pageBreakBefore w:val="false"/>
        <w:widowControl w:val="false"/>
        <w:pBdr/>
        <w:spacing w:line="620" w:lineRule="exact"/>
        <w:ind w:firstLine="643" w:left="0"/>
        <w:jc w:val="both"/>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一、评价结论</w:t>
      </w:r>
      <w:bookmarkEnd w:id="244"/>
      <w:r/>
      <w:r>
        <w:rPr>
          <w:rFonts w:hint="eastAsia" w:ascii="黑体" w:hAnsi="黑体" w:eastAsia="黑体" w:cs="黑体"/>
          <w:b w:val="0"/>
          <w:bCs w:val="0"/>
          <w:color w:val="auto"/>
          <w:sz w:val="32"/>
          <w:szCs w:val="32"/>
        </w:rPr>
      </w:r>
    </w:p>
    <w:p>
      <w:pPr>
        <w:keepNext w:val="false"/>
        <w:keepLines w:val="false"/>
        <w:pageBreakBefore w:val="false"/>
        <w:widowControl w:val="false"/>
        <w:pBdr/>
        <w:spacing w:line="620" w:lineRule="exact"/>
        <w:ind w:firstLine="643" w:left="0"/>
        <w:jc w:val="both"/>
        <w:outlineLvl w:val="1"/>
        <w:rPr>
          <w:rFonts w:hint="eastAsia" w:ascii="楷体_GB2312" w:hAnsi="楷体_GB2312" w:eastAsia="楷体_GB2312" w:cs="楷体_GB2312"/>
          <w:b/>
          <w:bCs/>
          <w:color w:val="auto"/>
          <w:sz w:val="32"/>
          <w:szCs w:val="32"/>
        </w:rPr>
      </w:pPr>
      <w:r/>
      <w:bookmarkStart w:id="245" w:name="_Toc19604"/>
      <w:r>
        <w:rPr>
          <w:rFonts w:hint="eastAsia" w:ascii="楷体_GB2312" w:hAnsi="楷体_GB2312" w:eastAsia="楷体_GB2312" w:cs="楷体_GB2312"/>
          <w:b/>
          <w:bCs/>
          <w:color w:val="auto"/>
          <w:sz w:val="32"/>
          <w:szCs w:val="32"/>
        </w:rPr>
        <w:t xml:space="preserve">（一）绩效评价分数和等级</w:t>
      </w:r>
      <w:bookmarkEnd w:id="245"/>
      <w:r/>
      <w:r>
        <w:rPr>
          <w:rFonts w:hint="eastAsia" w:ascii="楷体_GB2312" w:hAnsi="楷体_GB2312" w:eastAsia="楷体_GB2312" w:cs="楷体_GB2312"/>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bookmarkStart w:id="246" w:name="_Toc14297711"/>
      <w:r>
        <w:rPr>
          <w:rFonts w:hint="default" w:ascii="Times New Roman" w:hAnsi="Times New Roman" w:eastAsia="仿宋_GB2312" w:cs="Times New Roman"/>
          <w:color w:val="auto"/>
          <w:sz w:val="32"/>
          <w:szCs w:val="32"/>
        </w:rPr>
        <w:t xml:space="preserve">项目绩效评价综合得分为84.75分</w:t>
      </w:r>
      <w:r>
        <w:rPr>
          <w:rFonts w:hint="default" w:ascii="Times New Roman" w:hAnsi="Times New Roman" w:eastAsia="仿宋_GB2312" w:cs="Times New Roman"/>
          <w:bCs/>
          <w:color w:val="auto"/>
          <w:sz w:val="32"/>
          <w:szCs w:val="32"/>
        </w:rPr>
        <w:t xml:space="preserve">，评价等级为</w:t>
      </w:r>
      <w:r>
        <w:rPr>
          <w:rFonts w:hint="default" w:ascii="Times New Roman" w:hAnsi="Times New Roman" w:eastAsia="仿宋_GB2312" w:cs="Times New Roman"/>
          <w:color w:val="auto"/>
          <w:sz w:val="32"/>
          <w:szCs w:val="32"/>
        </w:rPr>
        <w:t xml:space="preserve">“良”。其中决策得分9.50分，过程得分21.25分，产出得分26分，效果得分28分，评分设定标准及得分见下表：</w:t>
      </w:r>
      <w:r>
        <w:rPr>
          <w:rFonts w:hint="default" w:ascii="Times New Roman" w:hAnsi="Times New Roman" w:eastAsia="仿宋_GB2312" w:cs="Times New Roman"/>
          <w:color w:val="auto"/>
          <w:sz w:val="32"/>
          <w:szCs w:val="32"/>
        </w:rPr>
      </w:r>
    </w:p>
    <w:tbl>
      <w:tblPr>
        <w:tblStyle w:val="716"/>
        <w:tblpPr w:horzAnchor="page" w:tblpX="1911" w:vertAnchor="text" w:tblpY="33" w:leftFromText="180" w:topFromText="0" w:rightFromText="180" w:bottomFromText="0"/>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2880"/>
        <w:gridCol w:w="2880"/>
        <w:gridCol w:w="2880"/>
      </w:tblGrid>
      <w:tr>
        <w:trPr>
          <w:trHeight w:val="117"/>
        </w:trPr>
        <w:tc>
          <w:tcPr>
            <w:tcBorders/>
            <w:tcW w:w="2880" w:type="dxa"/>
            <w:vAlign w:val="center"/>
            <w:textDirection w:val="lrTb"/>
            <w:noWrap/>
          </w:tcPr>
          <w:p>
            <w:pPr>
              <w:pBdr/>
              <w:spacing w:line="500" w:lineRule="exact"/>
              <w:ind/>
              <w:jc w:val="center"/>
              <w:rPr>
                <w:rFonts w:hint="eastAsia" w:ascii="黑体" w:hAnsi="黑体" w:eastAsia="黑体" w:cs="黑体"/>
                <w:color w:val="auto"/>
                <w:sz w:val="24"/>
                <w:shd w:val="clear" w:color="auto" w:fill="ffffff"/>
              </w:rPr>
            </w:pPr>
            <w:r>
              <w:rPr>
                <w:rFonts w:hint="eastAsia" w:ascii="黑体" w:hAnsi="黑体" w:eastAsia="黑体" w:cs="黑体"/>
                <w:color w:val="auto"/>
                <w:sz w:val="24"/>
                <w:shd w:val="clear" w:color="auto" w:fill="ffffff"/>
              </w:rPr>
              <w:t xml:space="preserve">评价指标</w:t>
            </w:r>
            <w:r>
              <w:rPr>
                <w:rFonts w:hint="eastAsia" w:ascii="黑体" w:hAnsi="黑体" w:eastAsia="黑体" w:cs="黑体"/>
                <w:color w:val="auto"/>
                <w:sz w:val="24"/>
                <w:shd w:val="clear" w:color="auto" w:fill="ffffff"/>
              </w:rPr>
            </w:r>
          </w:p>
        </w:tc>
        <w:tc>
          <w:tcPr>
            <w:tcBorders/>
            <w:tcW w:w="2880" w:type="dxa"/>
            <w:vAlign w:val="center"/>
            <w:textDirection w:val="lrTb"/>
            <w:noWrap/>
          </w:tcPr>
          <w:p>
            <w:pPr>
              <w:pBdr/>
              <w:spacing w:line="500" w:lineRule="exact"/>
              <w:ind/>
              <w:jc w:val="center"/>
              <w:rPr>
                <w:rFonts w:hint="eastAsia" w:ascii="黑体" w:hAnsi="黑体" w:eastAsia="黑体" w:cs="黑体"/>
                <w:color w:val="auto"/>
                <w:sz w:val="24"/>
                <w:shd w:val="clear" w:color="auto" w:fill="ffffff"/>
              </w:rPr>
            </w:pPr>
            <w:r>
              <w:rPr>
                <w:rFonts w:hint="eastAsia" w:ascii="黑体" w:hAnsi="黑体" w:eastAsia="黑体" w:cs="黑体"/>
                <w:color w:val="auto"/>
                <w:sz w:val="24"/>
                <w:shd w:val="clear" w:color="auto" w:fill="ffffff"/>
              </w:rPr>
              <w:t xml:space="preserve">设置分值</w:t>
            </w:r>
            <w:r>
              <w:rPr>
                <w:rFonts w:hint="eastAsia" w:ascii="黑体" w:hAnsi="黑体" w:eastAsia="黑体" w:cs="黑体"/>
                <w:color w:val="auto"/>
                <w:sz w:val="24"/>
                <w:shd w:val="clear" w:color="auto" w:fill="ffffff"/>
              </w:rPr>
            </w:r>
          </w:p>
        </w:tc>
        <w:tc>
          <w:tcPr>
            <w:tcBorders/>
            <w:tcW w:w="2880" w:type="dxa"/>
            <w:vAlign w:val="center"/>
            <w:textDirection w:val="lrTb"/>
            <w:noWrap/>
          </w:tcPr>
          <w:p>
            <w:pPr>
              <w:pBdr/>
              <w:spacing w:line="500" w:lineRule="exact"/>
              <w:ind/>
              <w:jc w:val="center"/>
              <w:rPr>
                <w:rFonts w:hint="eastAsia" w:ascii="黑体" w:hAnsi="黑体" w:eastAsia="黑体" w:cs="黑体"/>
                <w:color w:val="auto"/>
                <w:sz w:val="24"/>
                <w:shd w:val="clear" w:color="auto" w:fill="ffffff"/>
              </w:rPr>
            </w:pPr>
            <w:r>
              <w:rPr>
                <w:rFonts w:hint="eastAsia" w:ascii="黑体" w:hAnsi="黑体" w:eastAsia="黑体" w:cs="黑体"/>
                <w:color w:val="auto"/>
                <w:sz w:val="24"/>
                <w:shd w:val="clear" w:color="auto" w:fill="ffffff"/>
              </w:rPr>
              <w:t xml:space="preserve">评价得分</w:t>
            </w:r>
            <w:r>
              <w:rPr>
                <w:rFonts w:hint="eastAsia" w:ascii="黑体" w:hAnsi="黑体" w:eastAsia="黑体" w:cs="黑体"/>
                <w:color w:val="auto"/>
                <w:sz w:val="24"/>
                <w:shd w:val="clear" w:color="auto" w:fill="ffffff"/>
              </w:rPr>
            </w:r>
          </w:p>
        </w:tc>
      </w:tr>
      <w:tr>
        <w:trPr>
          <w:trHeight w:val="75"/>
        </w:trPr>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决策</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15分</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 9.50分</w:t>
            </w:r>
            <w:r>
              <w:rPr>
                <w:rFonts w:hint="default" w:ascii="Times New Roman" w:hAnsi="Times New Roman" w:cs="Times New Roman" w:eastAsiaTheme="minorEastAsia"/>
                <w:color w:val="auto"/>
                <w:sz w:val="24"/>
                <w:shd w:val="clear" w:color="auto" w:fill="ffffff"/>
              </w:rPr>
            </w:r>
          </w:p>
        </w:tc>
      </w:tr>
      <w:tr>
        <w:trPr>
          <w:trHeight w:val="33"/>
        </w:trPr>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过程</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25分</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21.25分</w:t>
            </w:r>
            <w:r>
              <w:rPr>
                <w:rFonts w:hint="default" w:ascii="Times New Roman" w:hAnsi="Times New Roman" w:cs="Times New Roman" w:eastAsiaTheme="minorEastAsia"/>
                <w:color w:val="auto"/>
                <w:sz w:val="24"/>
                <w:shd w:val="clear" w:color="auto" w:fill="ffffff"/>
              </w:rPr>
            </w:r>
          </w:p>
        </w:tc>
      </w:tr>
      <w:tr>
        <w:trPr>
          <w:trHeight w:val="147"/>
        </w:trPr>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产出</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30分</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26.00分</w:t>
            </w:r>
            <w:r>
              <w:rPr>
                <w:rFonts w:hint="default" w:ascii="Times New Roman" w:hAnsi="Times New Roman" w:cs="Times New Roman" w:eastAsiaTheme="minorEastAsia"/>
                <w:color w:val="auto"/>
                <w:sz w:val="24"/>
                <w:shd w:val="clear" w:color="auto" w:fill="ffffff"/>
              </w:rPr>
            </w:r>
          </w:p>
        </w:tc>
      </w:tr>
      <w:tr>
        <w:trPr>
          <w:trHeight w:val="90"/>
        </w:trPr>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效果</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30分</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28.00分</w:t>
            </w:r>
            <w:r>
              <w:rPr>
                <w:rFonts w:hint="default" w:ascii="Times New Roman" w:hAnsi="Times New Roman" w:cs="Times New Roman" w:eastAsiaTheme="minorEastAsia"/>
                <w:color w:val="auto"/>
                <w:sz w:val="24"/>
                <w:shd w:val="clear" w:color="auto" w:fill="ffffff"/>
              </w:rPr>
            </w:r>
          </w:p>
        </w:tc>
      </w:tr>
      <w:tr>
        <w:trPr>
          <w:trHeight w:val="53"/>
        </w:trPr>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合计</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100分</w:t>
            </w:r>
            <w:r>
              <w:rPr>
                <w:rFonts w:hint="default" w:ascii="Times New Roman" w:hAnsi="Times New Roman" w:cs="Times New Roman" w:eastAsiaTheme="minorEastAsia"/>
                <w:color w:val="auto"/>
                <w:sz w:val="24"/>
                <w:shd w:val="clear" w:color="auto" w:fill="ffffff"/>
              </w:rPr>
            </w:r>
          </w:p>
        </w:tc>
        <w:tc>
          <w:tcPr>
            <w:tcBorders/>
            <w:tcW w:w="2880" w:type="dxa"/>
            <w:vAlign w:val="center"/>
            <w:textDirection w:val="lrTb"/>
            <w:noWrap/>
          </w:tcPr>
          <w:p>
            <w:pPr>
              <w:pBdr/>
              <w:spacing w:line="500" w:lineRule="exact"/>
              <w:ind/>
              <w:jc w:val="center"/>
              <w:rPr>
                <w:rFonts w:hint="default" w:ascii="Times New Roman" w:hAnsi="Times New Roman" w:cs="Times New Roman" w:eastAsiaTheme="minorEastAsia"/>
                <w:color w:val="auto"/>
                <w:sz w:val="24"/>
                <w:shd w:val="clear" w:color="auto" w:fill="ffffff"/>
              </w:rPr>
            </w:pPr>
            <w:r>
              <w:rPr>
                <w:rFonts w:hint="default" w:ascii="Times New Roman" w:hAnsi="Times New Roman" w:cs="Times New Roman" w:eastAsiaTheme="minorEastAsia"/>
                <w:color w:val="auto"/>
                <w:sz w:val="24"/>
                <w:shd w:val="clear" w:color="auto" w:fill="ffffff"/>
              </w:rPr>
              <w:t xml:space="preserve">84.75分</w:t>
            </w:r>
            <w:r>
              <w:rPr>
                <w:rFonts w:hint="default" w:ascii="Times New Roman" w:hAnsi="Times New Roman" w:cs="Times New Roman" w:eastAsiaTheme="minorEastAsia"/>
                <w:color w:val="auto"/>
                <w:sz w:val="24"/>
                <w:shd w:val="clear" w:color="auto" w:fill="ffffff"/>
              </w:rPr>
            </w:r>
          </w:p>
        </w:tc>
      </w:tr>
    </w:tbl>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绩效评价总分设置为100分，绩效评价等级一般划分为四档：90（含）-100分为优；80（含）-90分为良；60（含）-80分为中；60分以下为差。</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1"/>
        <w:rPr>
          <w:rFonts w:hint="default" w:ascii="楷体_GB2312" w:hAnsi="楷体_GB2312" w:eastAsia="楷体_GB2312" w:cs="楷体_GB2312"/>
          <w:b/>
          <w:bCs/>
          <w:color w:val="auto"/>
          <w:sz w:val="32"/>
          <w:szCs w:val="32"/>
        </w:rPr>
      </w:pPr>
      <w:r/>
      <w:bookmarkStart w:id="247" w:name="_Toc12091"/>
      <w:r/>
      <w:bookmarkStart w:id="248" w:name="_Toc28146"/>
      <w:r>
        <w:rPr>
          <w:rFonts w:hint="default" w:ascii="楷体_GB2312" w:hAnsi="楷体_GB2312" w:eastAsia="楷体_GB2312" w:cs="楷体_GB2312"/>
          <w:b/>
          <w:bCs/>
          <w:color w:val="auto"/>
          <w:sz w:val="32"/>
          <w:szCs w:val="32"/>
        </w:rPr>
        <w:t xml:space="preserve">（二）绩效评价指标完成情况</w:t>
      </w:r>
      <w:bookmarkEnd w:id="246"/>
      <w:r/>
      <w:bookmarkEnd w:id="247"/>
      <w:r/>
      <w:bookmarkEnd w:id="248"/>
      <w:r>
        <w:rPr>
          <w:rFonts w:hint="default" w:ascii="楷体_GB2312" w:hAnsi="楷体_GB2312" w:eastAsia="楷体_GB2312" w:cs="楷体_GB2312"/>
          <w:b/>
          <w:bCs/>
          <w:color w:val="auto"/>
          <w:sz w:val="32"/>
          <w:szCs w:val="32"/>
        </w:rPr>
        <w:t xml:space="preserve">简要分析</w:t>
      </w:r>
      <w:r>
        <w:rPr>
          <w:rFonts w:hint="default" w:ascii="楷体_GB2312" w:hAnsi="楷体_GB2312" w:eastAsia="楷体_GB2312" w:cs="楷体_GB2312"/>
          <w:b/>
          <w:bCs/>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249" w:name="_Toc26821"/>
      <w:r>
        <w:rPr>
          <w:rFonts w:hint="default" w:ascii="Times New Roman" w:hAnsi="Times New Roman" w:eastAsia="仿宋_GB2312" w:cs="Times New Roman"/>
          <w:b/>
          <w:bCs/>
          <w:color w:val="auto"/>
          <w:sz w:val="32"/>
          <w:szCs w:val="32"/>
        </w:rPr>
        <w:t xml:space="preserve">1、决策，15分，评价得分为9.50分</w:t>
      </w:r>
      <w:bookmarkEnd w:id="249"/>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项目立项符合法律法规、相关政策、发展规划以及部门职责，符合一般债券支持领域；项目设立了绩效目标，但不完整，主要是因为没有根据项目批复设置绩效目标，因此影响绩效目标合理性；公益性项目，没有经济效益指标，“产出指标”没有完整设置清晰、细化、可衡量的产出、效果指标值；绩效目标与实际工作内容具有相关性，预算确定的投资额与工作任务相匹配，未按规定立项程序报批项目建议书、可行性研究报告、初步设计；预期产出效益和效果应符合正常的业绩水平，扣5.5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color w:val="auto"/>
          <w:sz w:val="32"/>
          <w:szCs w:val="32"/>
        </w:rPr>
      </w:pPr>
      <w:r/>
      <w:bookmarkStart w:id="250" w:name="_Toc26775"/>
      <w:r>
        <w:rPr>
          <w:rFonts w:hint="default" w:ascii="Times New Roman" w:hAnsi="Times New Roman" w:eastAsia="仿宋_GB2312" w:cs="Times New Roman"/>
          <w:b/>
          <w:bCs/>
          <w:color w:val="auto"/>
          <w:sz w:val="32"/>
          <w:szCs w:val="32"/>
        </w:rPr>
        <w:t xml:space="preserve">2、过程，25分，评价得分为21.25分</w:t>
      </w:r>
      <w:bookmarkEnd w:id="250"/>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项目资金落实及执行情况较好，对项目实施的总体保障程度较高，2023年一般债券资金到位率为100%，项目预算执行率为 100%，资金使用合法合规；财务和业务管理制度健全，一般债券管理与风险控制符合地方政府一般债券项目资金绩效管理办法，项目实施的人员条件、场地设备、信息支撑等落实到位，随州市审计局审计发现问题：资金到位不及时，导致资金拨付和支出进度没有按计划进行，存在虚列支出，未及时办理基建项目竣工决算手续，影响制度执行的有效性，扣3.75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251" w:name="_Toc12540"/>
      <w:r>
        <w:rPr>
          <w:rFonts w:hint="default" w:ascii="Times New Roman" w:hAnsi="Times New Roman" w:eastAsia="仿宋_GB2312" w:cs="Times New Roman"/>
          <w:b/>
          <w:bCs/>
          <w:color w:val="auto"/>
          <w:sz w:val="32"/>
          <w:szCs w:val="32"/>
        </w:rPr>
        <w:t xml:space="preserve">3、产出，30分，评价得分为26分</w:t>
      </w:r>
      <w:bookmarkEnd w:id="251"/>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在规定时限内，完成工程项目建设，质量达到国家相关行业的质量检测标准，验收合格，按进度支付工程款，成本没有超过预算成本，因没有列示计划产出数量指标和质量指标，扣4分。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color w:val="auto"/>
          <w:sz w:val="32"/>
          <w:szCs w:val="32"/>
        </w:rPr>
      </w:pPr>
      <w:r/>
      <w:bookmarkStart w:id="252" w:name="_Toc22699"/>
      <w:r>
        <w:rPr>
          <w:rFonts w:hint="default" w:ascii="Times New Roman" w:hAnsi="Times New Roman" w:eastAsia="仿宋_GB2312" w:cs="Times New Roman"/>
          <w:b/>
          <w:bCs/>
          <w:color w:val="auto"/>
          <w:sz w:val="32"/>
          <w:szCs w:val="32"/>
        </w:rPr>
        <w:t xml:space="preserve">4、效果</w:t>
      </w:r>
      <w:r>
        <w:rPr>
          <w:rFonts w:hint="eastAsia" w:ascii="Times New Roman" w:hAnsi="Times New Roman" w:eastAsia="仿宋_GB2312" w:cs="Times New Roman"/>
          <w:b/>
          <w:bCs/>
          <w:color w:val="auto"/>
          <w:sz w:val="32"/>
          <w:szCs w:val="32"/>
          <w:lang w:eastAsia="zh-CN"/>
        </w:rPr>
        <w:t xml:space="preserve">，</w:t>
      </w:r>
      <w:r>
        <w:rPr>
          <w:rFonts w:hint="default" w:ascii="Times New Roman" w:hAnsi="Times New Roman" w:eastAsia="仿宋_GB2312" w:cs="Times New Roman"/>
          <w:b/>
          <w:bCs/>
          <w:color w:val="auto"/>
          <w:sz w:val="32"/>
          <w:szCs w:val="32"/>
        </w:rPr>
        <w:t xml:space="preserve">30分，评价得分为28分</w:t>
      </w:r>
      <w:bookmarkEnd w:id="252"/>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效果指标重点是社会效益指标，解决了市区人口饮水供给能力不足问题，保证了饮水质量，提高了居民的生活水平，可持续使用年限20年，显著增强区域社会经济持续发展能力，群众对工程质量，供水能力，稳定运行状况普遍满意，扣2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1"/>
        <w:rPr>
          <w:rFonts w:hint="default" w:ascii="楷体_GB2312" w:hAnsi="楷体_GB2312" w:eastAsia="楷体_GB2312" w:cs="楷体_GB2312"/>
          <w:b/>
          <w:bCs/>
          <w:color w:val="auto"/>
          <w:sz w:val="32"/>
          <w:szCs w:val="32"/>
        </w:rPr>
      </w:pPr>
      <w:r/>
      <w:bookmarkStart w:id="253" w:name="_Toc5556"/>
      <w:r>
        <w:rPr>
          <w:rFonts w:hint="default" w:ascii="楷体_GB2312" w:hAnsi="楷体_GB2312" w:eastAsia="楷体_GB2312" w:cs="楷体_GB2312"/>
          <w:b/>
          <w:bCs/>
          <w:color w:val="auto"/>
          <w:sz w:val="32"/>
          <w:szCs w:val="32"/>
        </w:rPr>
        <w:t xml:space="preserve">（三）项目成效、存在的问题和原因</w:t>
      </w:r>
      <w:bookmarkEnd w:id="253"/>
      <w:r/>
      <w:r>
        <w:rPr>
          <w:rFonts w:hint="default" w:ascii="楷体_GB2312" w:hAnsi="楷体_GB2312" w:eastAsia="楷体_GB2312" w:cs="楷体_GB2312"/>
          <w:b/>
          <w:bCs/>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254" w:name="_Toc24136"/>
      <w:r>
        <w:rPr>
          <w:rFonts w:hint="default" w:ascii="Times New Roman" w:hAnsi="Times New Roman" w:eastAsia="仿宋_GB2312" w:cs="Times New Roman"/>
          <w:b/>
          <w:bCs/>
          <w:color w:val="auto"/>
          <w:sz w:val="32"/>
          <w:szCs w:val="32"/>
        </w:rPr>
        <w:t xml:space="preserve">1、项目成效</w:t>
      </w:r>
      <w:bookmarkEnd w:id="254"/>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鄂北水资源配置二期一般债券工程项目建成后，可持续运营20年无忧，提高了城区供水水量和供水质量；完善了城区供水管网及供水水源配置，提高供水可靠性；建成后供水能力由原来的13.5万吨/日，提升到20万砘/日，改变了原来供水不足的现象，解决</w:t>
      </w:r>
      <w:r>
        <w:rPr>
          <w:rFonts w:hint="default" w:ascii="Times New Roman" w:hAnsi="Times New Roman" w:eastAsia="仿宋_GB2312" w:cs="Times New Roman"/>
          <w:color w:val="auto"/>
          <w:sz w:val="32"/>
          <w:szCs w:val="32"/>
          <w:highlight w:val="none"/>
        </w:rPr>
        <w:t xml:space="preserve">40万</w:t>
      </w:r>
      <w:r>
        <w:rPr>
          <w:rFonts w:hint="default" w:ascii="Times New Roman" w:hAnsi="Times New Roman" w:eastAsia="仿宋_GB2312" w:cs="Times New Roman"/>
          <w:color w:val="auto"/>
          <w:sz w:val="32"/>
          <w:szCs w:val="32"/>
        </w:rPr>
        <w:t xml:space="preserve">城区人民的安全饮水问题，随州市人民喝上洁净、优质的丹江水，提高居民的生活水平。</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255" w:name="_Toc29109"/>
      <w:r>
        <w:rPr>
          <w:rFonts w:hint="default" w:ascii="Times New Roman" w:hAnsi="Times New Roman" w:eastAsia="仿宋_GB2312" w:cs="Times New Roman"/>
          <w:b/>
          <w:bCs/>
          <w:color w:val="auto"/>
          <w:sz w:val="32"/>
          <w:szCs w:val="32"/>
        </w:rPr>
        <w:t xml:space="preserve">2、存在的问题和原因</w:t>
      </w:r>
      <w:bookmarkEnd w:id="255"/>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2.1、上年度绩效评价结果应用情况</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上年度第三方评价机构没有对</w:t>
      </w:r>
      <w:r>
        <w:rPr>
          <w:rFonts w:hint="default" w:ascii="Times New Roman" w:hAnsi="Times New Roman" w:eastAsia="仿宋_GB2312" w:cs="Times New Roman"/>
          <w:color w:val="auto"/>
          <w:sz w:val="32"/>
          <w:szCs w:val="32"/>
          <w:lang w:val="zh-CN"/>
        </w:rPr>
        <w:t xml:space="preserve">鄂北水资源配置二期市直工程一般债券项目</w:t>
      </w:r>
      <w:r>
        <w:rPr>
          <w:rFonts w:hint="default" w:ascii="Times New Roman" w:hAnsi="Times New Roman" w:eastAsia="仿宋_GB2312" w:cs="Times New Roman"/>
          <w:color w:val="auto"/>
          <w:sz w:val="32"/>
          <w:szCs w:val="32"/>
        </w:rPr>
        <w:t xml:space="preserve">进行绩效评价；</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2.2、本年度绩效存在的问题和原因</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bookmarkStart w:id="256" w:name="_Toc7647"/>
      <w:r>
        <w:rPr>
          <w:rFonts w:hint="default" w:ascii="Times New Roman" w:hAnsi="Times New Roman" w:eastAsia="仿宋_GB2312" w:cs="Times New Roman"/>
          <w:color w:val="auto"/>
          <w:sz w:val="32"/>
          <w:szCs w:val="32"/>
        </w:rPr>
        <w:t xml:space="preserve">1、 “绩效目标”设置不完整。仅将绩效目标设置为“该市直配套工程建设后，将实现供水管线日供水量20万方，能解决40万城区人民的安全饮水问题”，没有根据随州市发改委批复（随发改审批服务</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2020</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6号）内容设置完整绩效目标。</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bookmarkStart w:id="257" w:name="_Hlk173076964"/>
      <w:r>
        <w:rPr>
          <w:rFonts w:hint="default" w:ascii="Times New Roman" w:hAnsi="Times New Roman" w:eastAsia="仿宋_GB2312" w:cs="Times New Roman"/>
          <w:color w:val="auto"/>
          <w:sz w:val="32"/>
          <w:szCs w:val="32"/>
        </w:rPr>
        <w:t xml:space="preserve">2、“绩效指标”设置不完整</w:t>
      </w:r>
      <w:bookmarkEnd w:id="257"/>
      <w:r>
        <w:rPr>
          <w:rFonts w:hint="default" w:ascii="Times New Roman" w:hAnsi="Times New Roman" w:eastAsia="仿宋_GB2312" w:cs="Times New Roman"/>
          <w:color w:val="auto"/>
          <w:sz w:val="32"/>
          <w:szCs w:val="32"/>
        </w:rPr>
        <w:t xml:space="preserve">。</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（1）是 “产出数量”绩效指标仅设置为建成后日供水量20万方，没有工程项目管径和总长；</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（2）“产出时效“指标设置为按时完成，定性设置，没有明确完成的具体时间；</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（3）“质量指标“设置为达到质量要求，定性设置，没有明确工程质量标准和水质标准；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（4）没有设置成本指标；效果指标，仅设置社会效益指标受益人数40万人，没有“可持续发展“和”满意度“指标。</w:t>
      </w:r>
      <w:bookmarkEnd w:id="256"/>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3、预算编制的科学性和正确性需要提高。工程批准概算为 18,895.48万元，实际支出16,340.04万元，实际支出与批准概算相比，节约额2555.44万元，节约率为 13.52%。说明事前绩效评估进行的工程造价总额正确性需要提高。尤其是基本预备费777.66万元，实际没有发生支出。</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1"/>
        <w:rPr>
          <w:rFonts w:hint="default" w:ascii="楷体_GB2312" w:hAnsi="楷体_GB2312" w:eastAsia="楷体_GB2312" w:cs="楷体_GB2312"/>
          <w:b/>
          <w:bCs/>
          <w:color w:val="auto"/>
          <w:sz w:val="32"/>
          <w:szCs w:val="32"/>
        </w:rPr>
      </w:pPr>
      <w:r/>
      <w:bookmarkStart w:id="258" w:name="_Toc27493"/>
      <w:r>
        <w:rPr>
          <w:rFonts w:hint="default" w:ascii="楷体_GB2312" w:hAnsi="楷体_GB2312" w:eastAsia="楷体_GB2312" w:cs="楷体_GB2312"/>
          <w:b/>
          <w:bCs/>
          <w:color w:val="auto"/>
          <w:sz w:val="32"/>
          <w:szCs w:val="32"/>
        </w:rPr>
        <w:t xml:space="preserve">（四）下一步拟改进措施</w:t>
      </w:r>
      <w:bookmarkEnd w:id="258"/>
      <w:r/>
      <w:r>
        <w:rPr>
          <w:rFonts w:hint="default" w:ascii="楷体_GB2312" w:hAnsi="楷体_GB2312" w:eastAsia="楷体_GB2312" w:cs="楷体_GB2312"/>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1、根据项目立项申报资料和随州市发改委批复（随发改审批服务</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2020</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6号）等的内容设置完整绩效目标。即：叙述“依据的“文件和内容”，通过实施该项目“实现的功能、解决的问题或达到的目的”，这样才能设置完整的绩效目标。</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2、产出指标和效果指标应根据绩效目标的具体内容，选择最能反映产出和效果的标志性指标作为绩效指标，并通过清晰、可衡量的指标值予以体现</w:t>
      </w:r>
      <w:bookmarkStart w:id="259" w:name="_Toc12319"/>
      <w:r>
        <w:rPr>
          <w:rFonts w:hint="default" w:ascii="Times New Roman" w:hAnsi="Times New Roman" w:eastAsia="仿宋_GB2312" w:cs="Times New Roman"/>
          <w:color w:val="auto"/>
          <w:sz w:val="32"/>
          <w:szCs w:val="32"/>
        </w:rPr>
        <w:t xml:space="preserve">，见下表：</w:t>
      </w:r>
      <w:r>
        <w:rPr>
          <w:rFonts w:hint="default" w:ascii="Times New Roman" w:hAnsi="Times New Roman" w:eastAsia="仿宋_GB2312" w:cs="Times New Roman"/>
          <w:color w:val="auto"/>
          <w:sz w:val="32"/>
          <w:szCs w:val="32"/>
        </w:rPr>
      </w:r>
    </w:p>
    <w:tbl>
      <w:tblPr>
        <w:tblStyle w:val="72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08" w:type="dxa"/>
          <w:top w:w="0" w:type="dxa"/>
          <w:right w:w="108" w:type="dxa"/>
          <w:bottom w:w="0" w:type="dxa"/>
        </w:tblCellMar>
        <w:tblLook w:val="04A0" w:firstRow="1" w:lastRow="0" w:firstColumn="1" w:lastColumn="0" w:noHBand="0" w:noVBand="1"/>
      </w:tblPr>
      <w:tblGrid>
        <w:gridCol w:w="970"/>
        <w:gridCol w:w="1827"/>
        <w:gridCol w:w="3320"/>
        <w:gridCol w:w="2268"/>
      </w:tblGrid>
      <w:tr>
        <w:trPr>
          <w:trHeight w:val="401"/>
        </w:trPr>
        <w:tc>
          <w:tcPr>
            <w:tcBorders/>
            <w:tcW w:w="970" w:type="dxa"/>
            <w:vAlign w:val="center"/>
            <w:textDirection w:val="lrTb"/>
            <w:noWrap w:val="false"/>
          </w:tcPr>
          <w:p>
            <w:pPr>
              <w:keepNext w:val="false"/>
              <w:keepLines w:val="false"/>
              <w:pageBreakBefore w:val="false"/>
              <w:widowControl w:val="false"/>
              <w:pBdr/>
              <w:spacing w:line="280" w:lineRule="exact"/>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序号</w:t>
            </w:r>
            <w:r>
              <w:rPr>
                <w:rFonts w:hint="eastAsia" w:ascii="黑体" w:hAnsi="黑体" w:eastAsia="黑体" w:cs="黑体"/>
                <w:color w:val="auto"/>
                <w:sz w:val="20"/>
                <w:szCs w:val="20"/>
              </w:rPr>
            </w:r>
          </w:p>
        </w:tc>
        <w:tc>
          <w:tcPr>
            <w:tcBorders/>
            <w:tcW w:w="1827" w:type="dxa"/>
            <w:vAlign w:val="center"/>
            <w:textDirection w:val="lrTb"/>
            <w:noWrap w:val="false"/>
          </w:tcPr>
          <w:p>
            <w:pPr>
              <w:keepNext w:val="false"/>
              <w:keepLines w:val="false"/>
              <w:pageBreakBefore w:val="false"/>
              <w:widowControl w:val="false"/>
              <w:pBdr/>
              <w:spacing w:line="280" w:lineRule="exact"/>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二级指标</w:t>
            </w:r>
            <w:r>
              <w:rPr>
                <w:rFonts w:hint="eastAsia" w:ascii="黑体" w:hAnsi="黑体" w:eastAsia="黑体" w:cs="黑体"/>
                <w:color w:val="auto"/>
                <w:sz w:val="20"/>
                <w:szCs w:val="20"/>
              </w:rPr>
            </w:r>
          </w:p>
        </w:tc>
        <w:tc>
          <w:tcPr>
            <w:tcBorders/>
            <w:tcW w:w="3320" w:type="dxa"/>
            <w:vAlign w:val="center"/>
            <w:textDirection w:val="lrTb"/>
            <w:noWrap w:val="false"/>
          </w:tcPr>
          <w:p>
            <w:pPr>
              <w:keepNext w:val="false"/>
              <w:keepLines w:val="false"/>
              <w:pageBreakBefore w:val="false"/>
              <w:widowControl w:val="false"/>
              <w:pBdr/>
              <w:spacing w:line="280" w:lineRule="exact"/>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三级指标</w:t>
            </w:r>
            <w:r>
              <w:rPr>
                <w:rFonts w:hint="eastAsia" w:ascii="黑体" w:hAnsi="黑体" w:eastAsia="黑体" w:cs="黑体"/>
                <w:color w:val="auto"/>
                <w:sz w:val="20"/>
                <w:szCs w:val="20"/>
              </w:rPr>
            </w:r>
          </w:p>
        </w:tc>
        <w:tc>
          <w:tcPr>
            <w:tcBorders/>
            <w:tcW w:w="2268" w:type="dxa"/>
            <w:vAlign w:val="center"/>
            <w:textDirection w:val="lrTb"/>
            <w:noWrap w:val="false"/>
          </w:tcPr>
          <w:p>
            <w:pPr>
              <w:keepNext w:val="false"/>
              <w:keepLines w:val="false"/>
              <w:pageBreakBefore w:val="false"/>
              <w:widowControl w:val="false"/>
              <w:pBdr/>
              <w:spacing w:line="280" w:lineRule="exact"/>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指标值</w:t>
            </w:r>
            <w:r>
              <w:rPr>
                <w:rFonts w:hint="eastAsia" w:ascii="黑体" w:hAnsi="黑体" w:eastAsia="黑体" w:cs="黑体"/>
                <w:color w:val="auto"/>
                <w:sz w:val="20"/>
                <w:szCs w:val="20"/>
              </w:rPr>
            </w:r>
          </w:p>
        </w:tc>
      </w:tr>
      <w:tr>
        <w:trPr/>
        <w:tc>
          <w:tcPr>
            <w:tcBorders/>
            <w:tcW w:w="970" w:type="dxa"/>
            <w:vAlign w:val="center"/>
            <w:vMerge w:val="restart"/>
            <w:textDirection w:val="lrTb"/>
            <w:noWrap w:val="false"/>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w:t>
            </w:r>
            <w:r>
              <w:rPr>
                <w:rFonts w:hint="default" w:ascii="Times New Roman" w:hAnsi="Times New Roman" w:eastAsia="宋体" w:cs="Times New Roman"/>
                <w:color w:val="auto"/>
                <w:sz w:val="20"/>
                <w:szCs w:val="20"/>
              </w:rPr>
            </w:r>
          </w:p>
        </w:tc>
        <w:tc>
          <w:tcPr>
            <w:tcBorders/>
            <w:tcW w:w="1827" w:type="dxa"/>
            <w:vAlign w:val="center"/>
            <w:vMerge w:val="restart"/>
            <w:textDirection w:val="lrTb"/>
            <w:noWrap w:val="false"/>
          </w:tcPr>
          <w:p>
            <w:pPr>
              <w:keepNext w:val="false"/>
              <w:keepLines w:val="false"/>
              <w:pageBreakBefore w:val="false"/>
              <w:widowControl w:val="false"/>
              <w:pBdr/>
              <w:spacing w:line="280" w:lineRule="exact"/>
              <w:ind w:firstLine="0"/>
              <w:jc w:val="lef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产出数量</w:t>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设计日供水量</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20万吨</w:t>
            </w:r>
            <w:r>
              <w:rPr>
                <w:rFonts w:hint="default" w:ascii="Times New Roman" w:hAnsi="Times New Roman" w:eastAsia="宋体" w:cs="Times New Roman"/>
                <w:color w:val="auto"/>
                <w:sz w:val="20"/>
                <w:szCs w:val="20"/>
              </w:rPr>
            </w:r>
          </w:p>
        </w:tc>
      </w:tr>
      <w:tr>
        <w:trPr/>
        <w:tc>
          <w:tcPr>
            <w:tcBorders/>
            <w:tcW w:w="970" w:type="dxa"/>
            <w:vMerge w:val="continue"/>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vMerge w:val="continue"/>
            <w:textDirection w:val="lrTb"/>
            <w:noWrap w:val="false"/>
          </w:tcPr>
          <w:p>
            <w:pPr>
              <w:keepNext w:val="false"/>
              <w:keepLines w:val="false"/>
              <w:pageBreakBefore w:val="false"/>
              <w:widowControl w:val="false"/>
              <w:pBdr/>
              <w:spacing w:line="280" w:lineRule="exact"/>
              <w:ind w:firstLine="0"/>
              <w:jc w:val="lef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输水管线管径 </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1.6m</w:t>
            </w:r>
            <w:r>
              <w:rPr>
                <w:rFonts w:hint="default" w:ascii="Times New Roman" w:hAnsi="Times New Roman" w:eastAsia="宋体" w:cs="Times New Roman"/>
                <w:color w:val="auto"/>
                <w:sz w:val="20"/>
                <w:szCs w:val="20"/>
              </w:rPr>
            </w:r>
          </w:p>
        </w:tc>
      </w:tr>
      <w:tr>
        <w:trPr/>
        <w:tc>
          <w:tcPr>
            <w:tcBorders/>
            <w:tcW w:w="970" w:type="dxa"/>
            <w:vMerge w:val="continue"/>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vMerge w:val="continue"/>
            <w:textDirection w:val="lrTb"/>
            <w:noWrap w:val="false"/>
          </w:tcPr>
          <w:p>
            <w:pPr>
              <w:keepNext w:val="false"/>
              <w:keepLines w:val="false"/>
              <w:pageBreakBefore w:val="false"/>
              <w:widowControl w:val="false"/>
              <w:pBdr/>
              <w:spacing w:line="280" w:lineRule="exact"/>
              <w:ind w:firstLine="0"/>
              <w:jc w:val="lef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输水管线总长</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15.368km</w:t>
            </w:r>
            <w:r>
              <w:rPr>
                <w:rFonts w:hint="default" w:ascii="Times New Roman" w:hAnsi="Times New Roman" w:eastAsia="宋体" w:cs="Times New Roman"/>
                <w:color w:val="auto"/>
                <w:sz w:val="20"/>
                <w:szCs w:val="20"/>
              </w:rPr>
            </w:r>
          </w:p>
        </w:tc>
      </w:tr>
      <w:tr>
        <w:trPr/>
        <w:tc>
          <w:tcPr>
            <w:tcBorders/>
            <w:tcW w:w="970" w:type="dxa"/>
            <w:vMerge w:val="continue"/>
            <w:textDirection w:val="lrTb"/>
            <w:noWrap w:val="false"/>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textDirection w:val="lrTb"/>
            <w:noWrap w:val="false"/>
          </w:tcPr>
          <w:p>
            <w:pPr>
              <w:keepNext w:val="false"/>
              <w:keepLines w:val="false"/>
              <w:pageBreakBefore w:val="false"/>
              <w:widowControl w:val="false"/>
              <w:pBdr/>
              <w:spacing w:line="280" w:lineRule="exact"/>
              <w:ind w:firstLine="0"/>
              <w:jc w:val="lef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产出时效</w:t>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建设工期</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18个月</w:t>
            </w:r>
            <w:r>
              <w:rPr>
                <w:rFonts w:hint="default" w:ascii="Times New Roman" w:hAnsi="Times New Roman" w:eastAsia="宋体" w:cs="Times New Roman"/>
                <w:color w:val="auto"/>
                <w:sz w:val="20"/>
                <w:szCs w:val="20"/>
              </w:rPr>
            </w:r>
          </w:p>
        </w:tc>
      </w:tr>
      <w:tr>
        <w:trPr>
          <w:trHeight w:val="230"/>
        </w:trPr>
        <w:tc>
          <w:tcPr>
            <w:tcBorders/>
            <w:tcW w:w="970" w:type="dxa"/>
            <w:vAlign w:val="center"/>
            <w:vMerge w:val="continue"/>
            <w:textDirection w:val="lrTb"/>
            <w:noWrap w:val="false"/>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vAlign w:val="center"/>
            <w:vMerge w:val="restart"/>
            <w:textDirection w:val="lrTb"/>
            <w:noWrap w:val="false"/>
          </w:tcPr>
          <w:p>
            <w:pPr>
              <w:keepNext w:val="false"/>
              <w:keepLines w:val="false"/>
              <w:pageBreakBefore w:val="false"/>
              <w:widowControl w:val="false"/>
              <w:pBdr/>
              <w:spacing w:line="280" w:lineRule="exact"/>
              <w:ind w:firstLine="0"/>
              <w:jc w:val="lef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产出质量</w:t>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工程质量标准</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合格标准</w:t>
            </w:r>
            <w:r>
              <w:rPr>
                <w:rFonts w:hint="default" w:ascii="Times New Roman" w:hAnsi="Times New Roman" w:eastAsia="宋体" w:cs="Times New Roman"/>
                <w:color w:val="auto"/>
                <w:sz w:val="20"/>
                <w:szCs w:val="20"/>
              </w:rPr>
            </w:r>
          </w:p>
        </w:tc>
      </w:tr>
      <w:tr>
        <w:trPr/>
        <w:tc>
          <w:tcPr>
            <w:tcBorders/>
            <w:tcW w:w="970" w:type="dxa"/>
            <w:vMerge w:val="continue"/>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vMerge w:val="continue"/>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供水质量标准</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合格标准</w:t>
            </w:r>
            <w:r>
              <w:rPr>
                <w:rFonts w:hint="default" w:ascii="Times New Roman" w:hAnsi="Times New Roman" w:eastAsia="宋体" w:cs="Times New Roman"/>
                <w:color w:val="auto"/>
                <w:sz w:val="20"/>
                <w:szCs w:val="20"/>
              </w:rPr>
            </w:r>
          </w:p>
        </w:tc>
      </w:tr>
      <w:tr>
        <w:trPr/>
        <w:tc>
          <w:tcPr>
            <w:tcBorders/>
            <w:tcW w:w="970" w:type="dxa"/>
            <w:vMerge w:val="continue"/>
            <w:textDirection w:val="lrTb"/>
            <w:noWrap w:val="false"/>
          </w:tcPr>
          <w:p>
            <w:pPr>
              <w:keepNext w:val="false"/>
              <w:keepLines w:val="false"/>
              <w:pageBreakBefore w:val="false"/>
              <w:widowControl w:val="false"/>
              <w:pBdr/>
              <w:spacing w:line="280" w:lineRule="exact"/>
              <w:ind w:firstLine="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成本指标</w:t>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批准投资概算</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18,895.48万元</w:t>
            </w:r>
            <w:r>
              <w:rPr>
                <w:rFonts w:hint="default" w:ascii="Times New Roman" w:hAnsi="Times New Roman" w:eastAsia="宋体" w:cs="Times New Roman"/>
                <w:color w:val="auto"/>
                <w:sz w:val="20"/>
                <w:szCs w:val="20"/>
              </w:rPr>
            </w:r>
          </w:p>
        </w:tc>
      </w:tr>
      <w:tr>
        <w:trPr/>
        <w:tc>
          <w:tcPr>
            <w:tcBorders/>
            <w:tcW w:w="970" w:type="dxa"/>
            <w:vAlign w:val="center"/>
            <w:vMerge w:val="restart"/>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效果</w:t>
            </w:r>
            <w:r>
              <w:rPr>
                <w:rFonts w:hint="default" w:ascii="Times New Roman" w:hAnsi="Times New Roman" w:eastAsia="宋体" w:cs="Times New Roman"/>
                <w:color w:val="auto"/>
                <w:sz w:val="20"/>
                <w:szCs w:val="20"/>
              </w:rPr>
            </w:r>
          </w:p>
        </w:tc>
        <w:tc>
          <w:tcPr>
            <w:tcBorders/>
            <w:tcW w:w="1827" w:type="dxa"/>
            <w:vAlign w:val="center"/>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社会效益</w:t>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提高了城区供水水量和供水质量</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保障城区居民安全饮水</w:t>
            </w:r>
            <w:r>
              <w:rPr>
                <w:rFonts w:hint="default" w:ascii="Times New Roman" w:hAnsi="Times New Roman" w:eastAsia="宋体" w:cs="Times New Roman"/>
                <w:color w:val="auto"/>
                <w:sz w:val="20"/>
                <w:szCs w:val="20"/>
              </w:rPr>
            </w:r>
          </w:p>
        </w:tc>
      </w:tr>
      <w:tr>
        <w:trPr/>
        <w:tc>
          <w:tcPr>
            <w:tcBorders/>
            <w:tcW w:w="970" w:type="dxa"/>
            <w:vMerge w:val="continue"/>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可持续发展</w:t>
            </w:r>
            <w:r>
              <w:rPr>
                <w:rFonts w:hint="default" w:ascii="Times New Roman" w:hAnsi="Times New Roman" w:eastAsia="宋体" w:cs="Times New Roman"/>
                <w:color w:val="auto"/>
                <w:sz w:val="20"/>
                <w:szCs w:val="20"/>
              </w:rPr>
            </w:r>
          </w:p>
        </w:tc>
        <w:tc>
          <w:tcPr>
            <w:tcBorders/>
            <w:tcW w:w="3320"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可持续使用年限</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20年</w:t>
            </w:r>
            <w:r>
              <w:rPr>
                <w:rFonts w:hint="default" w:ascii="Times New Roman" w:hAnsi="Times New Roman" w:eastAsia="宋体" w:cs="Times New Roman"/>
                <w:color w:val="auto"/>
                <w:sz w:val="20"/>
                <w:szCs w:val="20"/>
              </w:rPr>
            </w:r>
          </w:p>
        </w:tc>
      </w:tr>
      <w:tr>
        <w:trPr/>
        <w:tc>
          <w:tcPr>
            <w:tcBorders/>
            <w:tcW w:w="970" w:type="dxa"/>
            <w:vMerge w:val="continue"/>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1827" w:type="dxa"/>
            <w:vAlign w:val="center"/>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服务对象满意度</w:t>
            </w:r>
            <w:r>
              <w:rPr>
                <w:rFonts w:hint="default" w:ascii="Times New Roman" w:hAnsi="Times New Roman" w:eastAsia="宋体" w:cs="Times New Roman"/>
                <w:color w:val="auto"/>
                <w:sz w:val="20"/>
                <w:szCs w:val="20"/>
              </w:rPr>
            </w:r>
          </w:p>
        </w:tc>
        <w:tc>
          <w:tcPr>
            <w:tcBorders/>
            <w:tcW w:w="3320" w:type="dxa"/>
            <w:vAlign w:val="center"/>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满意度</w:t>
            </w:r>
            <w:r>
              <w:rPr>
                <w:rFonts w:hint="default" w:ascii="Times New Roman" w:hAnsi="Times New Roman" w:eastAsia="宋体" w:cs="Times New Roman"/>
                <w:color w:val="auto"/>
                <w:sz w:val="20"/>
                <w:szCs w:val="20"/>
              </w:rPr>
            </w:r>
          </w:p>
        </w:tc>
        <w:tc>
          <w:tcPr>
            <w:tcBorders/>
            <w:tcW w:w="2268" w:type="dxa"/>
            <w:textDirection w:val="lrTb"/>
            <w:noWrap w:val="false"/>
          </w:tcPr>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95%以上</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85%-95%</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80-85% </w:t>
            </w:r>
            <w:r>
              <w:rPr>
                <w:rFonts w:hint="default" w:ascii="Times New Roman" w:hAnsi="Times New Roman" w:eastAsia="宋体" w:cs="Times New Roman"/>
                <w:color w:val="auto"/>
                <w:sz w:val="20"/>
                <w:szCs w:val="20"/>
              </w:rPr>
            </w:r>
          </w:p>
        </w:tc>
      </w:tr>
    </w:tbl>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3、为提高预算编制的科学性和正确性，应加强工程造价预算编制的审核，主要是审核图纸工程材料用量、工时等及取价时点的审核，并制定拦标价，把工程概算投资总额控制在合理范围内。 </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3" w:left="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0" w:left="0"/>
        <w:jc w:val="both"/>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 xml:space="preserve">附件</w:t>
      </w:r>
      <w:r>
        <w:rPr>
          <w:rFonts w:hint="eastAsia" w:ascii="黑体" w:hAnsi="黑体" w:eastAsia="黑体" w:cs="黑体"/>
          <w:b w:val="0"/>
          <w:bCs/>
          <w:color w:val="auto"/>
          <w:sz w:val="32"/>
          <w:szCs w:val="32"/>
          <w:lang w:eastAsia="zh-CN"/>
        </w:rPr>
        <w:t xml:space="preserve">：</w:t>
      </w:r>
      <w:r>
        <w:rPr>
          <w:rFonts w:hint="eastAsia" w:ascii="黑体" w:hAnsi="黑体" w:eastAsia="黑体" w:cs="黑体"/>
          <w:b w:val="0"/>
          <w:bCs/>
          <w:color w:val="auto"/>
          <w:sz w:val="32"/>
          <w:szCs w:val="32"/>
          <w:lang w:eastAsia="zh-CN"/>
        </w:rPr>
      </w:r>
    </w:p>
    <w:p>
      <w:pPr>
        <w:keepNext w:val="false"/>
        <w:keepLines w:val="false"/>
        <w:pageBreakBefore w:val="false"/>
        <w:widowControl w:val="false"/>
        <w:pBdr/>
        <w:spacing w:line="620" w:lineRule="exact"/>
        <w:ind w:firstLine="0" w:left="0"/>
        <w:jc w:val="both"/>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r>
      <w:r>
        <w:rPr>
          <w:rFonts w:hint="eastAsia" w:ascii="黑体" w:hAnsi="黑体" w:eastAsia="黑体" w:cs="黑体"/>
          <w:b w:val="0"/>
          <w:bCs/>
          <w:color w:val="auto"/>
          <w:sz w:val="32"/>
          <w:szCs w:val="32"/>
          <w:lang w:eastAsia="zh-CN"/>
        </w:rPr>
      </w:r>
    </w:p>
    <w:p>
      <w:pPr>
        <w:keepNext w:val="false"/>
        <w:keepLines w:val="false"/>
        <w:pageBreakBefore w:val="false"/>
        <w:widowControl w:val="false"/>
        <w:pBdr/>
        <w:spacing w:line="620" w:lineRule="exact"/>
        <w:ind w:firstLine="0" w:left="0"/>
        <w:jc w:val="center"/>
        <w:rPr>
          <w:rFonts w:hint="eastAsia" w:ascii="方正小标宋简体" w:hAnsi="方正小标宋简体" w:eastAsia="方正小标宋简体" w:cs="方正小标宋简体"/>
          <w:b w:val="0"/>
          <w:bCs w:val="0"/>
          <w:color w:val="auto"/>
          <w:sz w:val="40"/>
          <w:szCs w:val="40"/>
          <w:lang w:val="zh-CN"/>
        </w:rPr>
      </w:pPr>
      <w:r>
        <w:rPr>
          <w:rFonts w:hint="eastAsia" w:ascii="方正小标宋简体" w:hAnsi="方正小标宋简体" w:eastAsia="方正小标宋简体" w:cs="方正小标宋简体"/>
          <w:b w:val="0"/>
          <w:bCs w:val="0"/>
          <w:color w:val="auto"/>
          <w:sz w:val="40"/>
          <w:szCs w:val="40"/>
          <w:lang w:val="zh-CN"/>
        </w:rPr>
        <w:t xml:space="preserve">2023年鄂北水资源配置二期市直工程</w:t>
      </w:r>
      <w:r>
        <w:rPr>
          <w:rFonts w:hint="eastAsia" w:ascii="方正小标宋简体" w:hAnsi="方正小标宋简体" w:eastAsia="方正小标宋简体" w:cs="方正小标宋简体"/>
          <w:b w:val="0"/>
          <w:bCs w:val="0"/>
          <w:color w:val="auto"/>
          <w:sz w:val="40"/>
          <w:szCs w:val="40"/>
          <w:lang w:val="zh-CN"/>
        </w:rPr>
      </w:r>
    </w:p>
    <w:p>
      <w:pPr>
        <w:keepNext w:val="false"/>
        <w:keepLines w:val="false"/>
        <w:pageBreakBefore w:val="false"/>
        <w:widowControl w:val="false"/>
        <w:pBdr/>
        <w:spacing w:line="620" w:lineRule="exact"/>
        <w:ind w:firstLine="0" w:left="0"/>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val="zh-CN"/>
        </w:rPr>
        <w:t xml:space="preserve">一般债券项目</w:t>
      </w:r>
      <w:r>
        <w:rPr>
          <w:rFonts w:hint="eastAsia" w:ascii="方正小标宋简体" w:hAnsi="方正小标宋简体" w:eastAsia="方正小标宋简体" w:cs="方正小标宋简体"/>
          <w:b w:val="0"/>
          <w:bCs w:val="0"/>
          <w:color w:val="auto"/>
          <w:sz w:val="40"/>
          <w:szCs w:val="40"/>
        </w:rPr>
        <w:t xml:space="preserve">支出绩效评分表</w:t>
      </w:r>
      <w:bookmarkEnd w:id="259"/>
      <w:r/>
      <w:r>
        <w:rPr>
          <w:rFonts w:hint="eastAsia" w:ascii="方正小标宋简体" w:hAnsi="方正小标宋简体" w:eastAsia="方正小标宋简体" w:cs="方正小标宋简体"/>
          <w:b w:val="0"/>
          <w:bCs w:val="0"/>
          <w:color w:val="auto"/>
          <w:sz w:val="40"/>
          <w:szCs w:val="40"/>
        </w:rPr>
      </w:r>
    </w:p>
    <w:tbl>
      <w:tblPr>
        <w:tblStyle w:val="716"/>
        <w:tblW w:w="54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772"/>
        <w:gridCol w:w="712"/>
        <w:gridCol w:w="1088"/>
        <w:gridCol w:w="5013"/>
        <w:gridCol w:w="1633"/>
        <w:gridCol w:w="443"/>
        <w:gridCol w:w="3"/>
      </w:tblGrid>
      <w:tr>
        <w:trPr>
          <w:jc w:val="center"/>
          <w:trHeight w:val="737"/>
          <w:tblHeader/>
        </w:trPr>
        <w:tc>
          <w:tcPr>
            <w:shd w:val="clear" w:color="auto" w:fill="auto"/>
            <w:tcBorders/>
            <w:tcW w:w="399" w:type="pct"/>
            <w:vAlign w:val="center"/>
            <w:textDirection w:val="lrTb"/>
            <w:noWrap w:val="false"/>
          </w:tcPr>
          <w:p>
            <w:pPr>
              <w:keepNext w:val="false"/>
              <w:keepLines w:val="false"/>
              <w:pageBreakBefore w:val="false"/>
              <w:widowControl w:val="false"/>
              <w:pBdr/>
              <w:spacing w:line="280" w:lineRule="exact"/>
              <w:ind w:firstLine="0" w:left="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一级指标</w:t>
            </w:r>
            <w:r>
              <w:rPr>
                <w:rFonts w:hint="eastAsia" w:ascii="黑体" w:hAnsi="黑体" w:eastAsia="黑体" w:cs="黑体"/>
                <w:b w:val="0"/>
                <w:bCs w:val="0"/>
                <w:color w:val="auto"/>
                <w:sz w:val="20"/>
                <w:szCs w:val="20"/>
              </w:rPr>
            </w:r>
          </w:p>
        </w:tc>
        <w:tc>
          <w:tcPr>
            <w:shd w:val="clear" w:color="auto" w:fill="auto"/>
            <w:tcBorders/>
            <w:tcW w:w="368" w:type="pct"/>
            <w:vAlign w:val="center"/>
            <w:textDirection w:val="lrTb"/>
            <w:noWrap/>
          </w:tcPr>
          <w:p>
            <w:pPr>
              <w:keepNext w:val="false"/>
              <w:keepLines w:val="false"/>
              <w:pageBreakBefore w:val="false"/>
              <w:widowControl w:val="false"/>
              <w:pBdr/>
              <w:spacing w:line="280" w:lineRule="exact"/>
              <w:ind w:firstLine="0" w:left="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二级指标</w:t>
            </w:r>
            <w:r>
              <w:rPr>
                <w:rFonts w:hint="eastAsia" w:ascii="黑体" w:hAnsi="黑体" w:eastAsia="黑体" w:cs="黑体"/>
                <w:b w:val="0"/>
                <w:bCs w:val="0"/>
                <w:color w:val="auto"/>
                <w:sz w:val="20"/>
                <w:szCs w:val="20"/>
              </w:rPr>
            </w:r>
          </w:p>
        </w:tc>
        <w:tc>
          <w:tcPr>
            <w:shd w:val="clear" w:color="auto" w:fill="auto"/>
            <w:tcBorders/>
            <w:tcW w:w="562" w:type="pct"/>
            <w:vAlign w:val="center"/>
            <w:textDirection w:val="lrTb"/>
            <w:noWrap/>
          </w:tcPr>
          <w:p>
            <w:pPr>
              <w:keepNext w:val="false"/>
              <w:keepLines w:val="false"/>
              <w:pageBreakBefore w:val="false"/>
              <w:widowControl w:val="false"/>
              <w:pBdr/>
              <w:spacing w:line="280" w:lineRule="exact"/>
              <w:ind w:firstLine="0" w:left="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三级</w:t>
            </w:r>
            <w:r>
              <w:rPr>
                <w:rFonts w:hint="eastAsia" w:ascii="黑体" w:hAnsi="黑体" w:eastAsia="黑体" w:cs="黑体"/>
                <w:b w:val="0"/>
                <w:bCs w:val="0"/>
                <w:color w:val="auto"/>
                <w:sz w:val="20"/>
                <w:szCs w:val="20"/>
              </w:rPr>
            </w:r>
          </w:p>
          <w:p>
            <w:pPr>
              <w:keepNext w:val="false"/>
              <w:keepLines w:val="false"/>
              <w:pageBreakBefore w:val="false"/>
              <w:widowControl w:val="false"/>
              <w:pBdr/>
              <w:spacing w:line="280" w:lineRule="exact"/>
              <w:ind w:firstLine="0" w:left="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指标</w:t>
            </w:r>
            <w:r>
              <w:rPr>
                <w:rFonts w:hint="eastAsia" w:ascii="黑体" w:hAnsi="黑体" w:eastAsia="黑体" w:cs="黑体"/>
                <w:b w:val="0"/>
                <w:bCs w:val="0"/>
                <w:color w:val="auto"/>
                <w:sz w:val="20"/>
                <w:szCs w:val="20"/>
              </w:rPr>
            </w:r>
          </w:p>
        </w:tc>
        <w:tc>
          <w:tcPr>
            <w:shd w:val="clear" w:color="auto" w:fill="auto"/>
            <w:tcBorders/>
            <w:tcW w:w="2593" w:type="pct"/>
            <w:vAlign w:val="center"/>
            <w:textDirection w:val="lrTb"/>
            <w:noWrap/>
          </w:tcPr>
          <w:p>
            <w:pPr>
              <w:keepNext w:val="false"/>
              <w:keepLines w:val="false"/>
              <w:pageBreakBefore w:val="false"/>
              <w:widowControl w:val="false"/>
              <w:pBdr/>
              <w:spacing w:line="280" w:lineRule="exact"/>
              <w:ind w:firstLine="0" w:left="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指标说明</w:t>
            </w:r>
            <w:r>
              <w:rPr>
                <w:rFonts w:hint="eastAsia" w:ascii="黑体" w:hAnsi="黑体" w:eastAsia="黑体" w:cs="黑体"/>
                <w:b w:val="0"/>
                <w:bCs w:val="0"/>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扣分依据</w:t>
            </w:r>
            <w:r>
              <w:rPr>
                <w:rFonts w:hint="eastAsia" w:ascii="黑体" w:hAnsi="黑体" w:eastAsia="黑体" w:cs="黑体"/>
                <w:b w:val="0"/>
                <w:bCs w:val="0"/>
                <w:color w:val="auto"/>
                <w:sz w:val="20"/>
                <w:szCs w:val="20"/>
              </w:rPr>
            </w:r>
          </w:p>
        </w:tc>
        <w:tc>
          <w:tcPr>
            <w:gridSpan w:val="2"/>
            <w:tcBorders/>
            <w:tcW w:w="230" w:type="pct"/>
            <w:vAlign w:val="center"/>
            <w:textDirection w:val="lrTb"/>
            <w:noWrap w:val="false"/>
          </w:tcPr>
          <w:p>
            <w:pPr>
              <w:keepNext w:val="false"/>
              <w:keepLines w:val="false"/>
              <w:pageBreakBefore w:val="false"/>
              <w:widowControl w:val="false"/>
              <w:pBdr/>
              <w:spacing w:line="280" w:lineRule="exact"/>
              <w:ind w:firstLine="0" w:left="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得分</w:t>
            </w:r>
            <w:r>
              <w:rPr>
                <w:rFonts w:hint="eastAsia" w:ascii="黑体" w:hAnsi="黑体" w:eastAsia="黑体" w:cs="黑体"/>
                <w:b w:val="0"/>
                <w:bCs w:val="0"/>
                <w:color w:val="auto"/>
                <w:sz w:val="20"/>
                <w:szCs w:val="20"/>
              </w:rPr>
            </w:r>
          </w:p>
        </w:tc>
      </w:tr>
      <w:tr>
        <w:trPr>
          <w:jc w:val="center"/>
          <w:trHeight w:val="2691"/>
        </w:trPr>
        <w:tc>
          <w:tcPr>
            <w:shd w:val="clear" w:color="auto" w:fill="auto"/>
            <w:tcBorders/>
            <w:tcW w:w="399"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决策</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368"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项目立项</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立项依据充分性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pStyle w:val="724"/>
              <w:keepNext w:val="false"/>
              <w:keepLines w:val="false"/>
              <w:pageBreakBefore w:val="false"/>
              <w:widowControl w:val="false"/>
              <w:numPr>
                <w:ilvl w:val="0"/>
                <w:numId w:val="1"/>
              </w:numPr>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项目立项是否符合国家法律法规、国民经济发展规和相关政策</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②项目立项是否符合行业发展规划和政策要求；</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③项目立项是否与部门职责范围相符,属于部门履职所需</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④项目是否属于政府投资项目，是否符合一般债券支持领域和方向；</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⑤项目是否与相关部门同类项目或部门内部相关项目重复；</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每项0.4分，符合5项标准，不扣分</w:t>
            </w:r>
            <w:r>
              <w:rPr>
                <w:rFonts w:hint="default" w:ascii="Times New Roman" w:hAnsi="Times New Roman" w:eastAsia="宋体" w:cs="Times New Roman"/>
                <w:color w:val="auto"/>
                <w:sz w:val="20"/>
                <w:szCs w:val="20"/>
              </w:rPr>
            </w:r>
          </w:p>
        </w:tc>
        <w:tc>
          <w:tcPr>
            <w:gridSpan w:val="2"/>
            <w:tcBorders/>
            <w:tcW w:w="230"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2分</w:t>
            </w:r>
            <w:r>
              <w:rPr>
                <w:rFonts w:hint="default" w:ascii="Times New Roman" w:hAnsi="Times New Roman" w:eastAsia="宋体" w:cs="Times New Roman"/>
                <w:color w:val="auto"/>
                <w:sz w:val="20"/>
                <w:szCs w:val="20"/>
              </w:rPr>
            </w:r>
          </w:p>
        </w:tc>
      </w:tr>
      <w:tr>
        <w:trPr>
          <w:jc w:val="center"/>
          <w:trHeight w:val="1411"/>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立项程序规范性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①项目是否按照规定的程序申请设立</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②审批文件、材料是否符合相关要求</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③事前是否已经过必要的可行性研究、专家论证、风险评估、绩效评估、集体决策。</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每项一分，未按规定报批项目建议书、可行性研究报告、初步设计，扣2分。</w:t>
            </w:r>
            <w:r>
              <w:rPr>
                <w:rFonts w:hint="default" w:ascii="Times New Roman" w:hAnsi="Times New Roman" w:eastAsia="宋体" w:cs="Times New Roman"/>
                <w:color w:val="auto"/>
                <w:sz w:val="20"/>
                <w:szCs w:val="20"/>
              </w:rPr>
            </w:r>
          </w:p>
        </w:tc>
        <w:tc>
          <w:tcPr>
            <w:gridSpan w:val="2"/>
            <w:tcBorders/>
            <w:tcW w:w="230"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1分</w:t>
            </w:r>
            <w:r>
              <w:rPr>
                <w:rFonts w:hint="default" w:ascii="Times New Roman" w:hAnsi="Times New Roman" w:eastAsia="宋体" w:cs="Times New Roman"/>
                <w:color w:val="auto"/>
                <w:sz w:val="20"/>
                <w:szCs w:val="20"/>
              </w:rPr>
            </w:r>
          </w:p>
        </w:tc>
      </w:tr>
      <w:tr>
        <w:trPr>
          <w:jc w:val="center"/>
          <w:trHeight w:val="1447"/>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绩效目标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绩效目标合理性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①是否有绩效目标</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②项目绩效目标与实际工作内容是否具有相关性</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③项目预期产出效益和效果是否符合正常的业绩水平</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④是否与预算确定的项目投资额或资金量相匹配。</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每项0.5分，绩效目标不完整，扣1分。</w:t>
            </w:r>
            <w:r>
              <w:rPr>
                <w:rFonts w:hint="default" w:ascii="Times New Roman" w:hAnsi="Times New Roman" w:eastAsia="宋体" w:cs="Times New Roman"/>
                <w:color w:val="auto"/>
                <w:sz w:val="20"/>
                <w:szCs w:val="20"/>
              </w:rPr>
            </w:r>
          </w:p>
        </w:tc>
        <w:tc>
          <w:tcPr>
            <w:gridSpan w:val="2"/>
            <w:tcBorders/>
            <w:tcW w:w="230"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highlight w:val="yellow"/>
              </w:rPr>
            </w:pPr>
            <w:r>
              <w:rPr>
                <w:rFonts w:hint="default" w:ascii="Times New Roman" w:hAnsi="Times New Roman" w:eastAsia="宋体" w:cs="Times New Roman"/>
                <w:color w:val="auto"/>
                <w:sz w:val="20"/>
                <w:szCs w:val="20"/>
              </w:rPr>
              <w:t xml:space="preserve">1分</w:t>
            </w:r>
            <w:r>
              <w:rPr>
                <w:rFonts w:hint="default" w:ascii="Times New Roman" w:hAnsi="Times New Roman" w:eastAsia="宋体" w:cs="Times New Roman"/>
                <w:color w:val="auto"/>
                <w:sz w:val="20"/>
                <w:szCs w:val="20"/>
                <w:highlight w:val="yellow"/>
              </w:rPr>
            </w:r>
          </w:p>
        </w:tc>
      </w:tr>
      <w:tr>
        <w:trPr>
          <w:jc w:val="center"/>
          <w:trHeight w:val="1384"/>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绩效指标明确性（3分）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①是否将项目绩效目标细化分解为具体的绩效指标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②是否通过清晰、可衡量的指标值予以体现</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③是否与项目目标任务数或计划数相对应。</w:t>
            </w:r>
            <w:r>
              <w:rPr>
                <w:rFonts w:hint="default" w:ascii="Times New Roman" w:hAnsi="Times New Roman" w:eastAsia="宋体" w:cs="Times New Roman"/>
                <w:color w:val="auto"/>
                <w:sz w:val="20"/>
                <w:szCs w:val="20"/>
              </w:rPr>
            </w:r>
          </w:p>
        </w:tc>
        <w:tc>
          <w:tcPr>
            <w:tcBorders/>
            <w:tcW w:w="844" w:type="pct"/>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每项1分，①②③指标没有细化分解设置清晰可衡量指标值，扣2分。</w:t>
            </w:r>
            <w:r>
              <w:rPr>
                <w:rFonts w:hint="default" w:ascii="Times New Roman" w:hAnsi="Times New Roman" w:eastAsia="宋体" w:cs="Times New Roman"/>
                <w:color w:val="auto"/>
                <w:sz w:val="20"/>
                <w:szCs w:val="20"/>
              </w:rPr>
            </w:r>
          </w:p>
        </w:tc>
        <w:tc>
          <w:tcPr>
            <w:gridSpan w:val="2"/>
            <w:tcBorders/>
            <w:tcW w:w="230"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highlight w:val="yellow"/>
              </w:rPr>
            </w:pPr>
            <w:r>
              <w:rPr>
                <w:rFonts w:hint="default" w:ascii="Times New Roman" w:hAnsi="Times New Roman" w:eastAsia="宋体" w:cs="Times New Roman"/>
                <w:color w:val="auto"/>
                <w:sz w:val="20"/>
                <w:szCs w:val="20"/>
              </w:rPr>
              <w:t xml:space="preserve">1分</w:t>
            </w:r>
            <w:r>
              <w:rPr>
                <w:rFonts w:hint="default" w:ascii="Times New Roman" w:hAnsi="Times New Roman" w:eastAsia="宋体" w:cs="Times New Roman"/>
                <w:color w:val="auto"/>
                <w:sz w:val="20"/>
                <w:szCs w:val="20"/>
                <w:highlight w:val="yellow"/>
              </w:rPr>
            </w:r>
          </w:p>
        </w:tc>
      </w:tr>
      <w:tr>
        <w:trPr>
          <w:jc w:val="center"/>
          <w:trHeight w:val="1379"/>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资金投入</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预算编制科学性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①预算编制是否经过科学论证:</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②预算内容与项目内容是否匹配:</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③预算额度测算依据是否充分,是否按照标准编制:</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④预算确定的项目投资额或资金量是否与工作任务相匹配。</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每项0.5分，①项预算编制未按规定申报资料，扣0.5分。</w:t>
            </w:r>
            <w:r>
              <w:rPr>
                <w:rFonts w:hint="default" w:ascii="Times New Roman" w:hAnsi="Times New Roman" w:eastAsia="宋体" w:cs="Times New Roman"/>
                <w:color w:val="auto"/>
                <w:sz w:val="20"/>
                <w:szCs w:val="20"/>
              </w:rPr>
            </w:r>
          </w:p>
        </w:tc>
        <w:tc>
          <w:tcPr>
            <w:gridSpan w:val="2"/>
            <w:tcBorders/>
            <w:tcW w:w="230"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1.5分</w:t>
            </w:r>
            <w:r>
              <w:rPr>
                <w:rFonts w:hint="default" w:ascii="Times New Roman" w:hAnsi="Times New Roman" w:eastAsia="宋体" w:cs="Times New Roman"/>
                <w:color w:val="auto"/>
                <w:sz w:val="20"/>
                <w:szCs w:val="20"/>
              </w:rPr>
            </w:r>
          </w:p>
        </w:tc>
      </w:tr>
      <w:tr>
        <w:trPr>
          <w:jc w:val="center"/>
          <w:trHeight w:val="1155"/>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资金分配</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合理性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①预算资金分配依据是否充分:</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highlight w:val="yellow"/>
              </w:rPr>
            </w:pPr>
            <w:r>
              <w:rPr>
                <w:rFonts w:hint="default" w:ascii="Times New Roman" w:hAnsi="Times New Roman" w:eastAsia="宋体" w:cs="Times New Roman"/>
                <w:color w:val="auto"/>
                <w:sz w:val="20"/>
                <w:szCs w:val="20"/>
              </w:rPr>
              <w:t xml:space="preserve">②资金分配额度是否合理,与项目单位或地方实际是否相适应。</w:t>
            </w:r>
            <w:r>
              <w:rPr>
                <w:rFonts w:hint="default" w:ascii="Times New Roman" w:hAnsi="Times New Roman" w:eastAsia="宋体" w:cs="Times New Roman"/>
                <w:color w:val="auto"/>
                <w:sz w:val="20"/>
                <w:szCs w:val="20"/>
                <w:highlight w:val="yellow"/>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每项1.5分，符合2项标准，不扣分。</w:t>
            </w:r>
            <w:r>
              <w:rPr>
                <w:rFonts w:hint="default" w:ascii="Times New Roman" w:hAnsi="Times New Roman" w:eastAsia="宋体" w:cs="Times New Roman"/>
                <w:color w:val="auto"/>
                <w:sz w:val="20"/>
                <w:szCs w:val="20"/>
              </w:rPr>
            </w:r>
          </w:p>
        </w:tc>
        <w:tc>
          <w:tcPr>
            <w:gridSpan w:val="2"/>
            <w:tcBorders/>
            <w:tcW w:w="230"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3分</w:t>
            </w:r>
            <w:r>
              <w:rPr>
                <w:rFonts w:hint="default" w:ascii="Times New Roman" w:hAnsi="Times New Roman" w:eastAsia="宋体" w:cs="Times New Roman"/>
                <w:color w:val="auto"/>
                <w:sz w:val="20"/>
                <w:szCs w:val="20"/>
              </w:rPr>
            </w:r>
          </w:p>
        </w:tc>
      </w:tr>
      <w:tr>
        <w:trPr>
          <w:gridAfter w:val="1"/>
          <w:jc w:val="center"/>
          <w:trHeight w:val="2905"/>
        </w:trPr>
        <w:tc>
          <w:tcPr>
            <w:shd w:val="clear" w:color="auto" w:fill="auto"/>
            <w:tcBorders/>
            <w:tcW w:w="399"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过程（25分）</w:t>
            </w:r>
            <w:r>
              <w:rPr>
                <w:rFonts w:hint="default" w:ascii="Times New Roman" w:hAnsi="Times New Roman" w:eastAsia="宋体" w:cs="Times New Roman"/>
                <w:color w:val="auto"/>
                <w:sz w:val="20"/>
                <w:szCs w:val="20"/>
              </w:rPr>
            </w:r>
          </w:p>
        </w:tc>
        <w:tc>
          <w:tcPr>
            <w:shd w:val="clear" w:color="auto" w:fill="auto"/>
            <w:tcBorders/>
            <w:tcW w:w="368"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资金</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管理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562" w:type="pct"/>
            <w:vAlign w:val="center"/>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资金到位率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资金到位率= </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实际到位资金/预算资金</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x100%。</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实际到位资金:一定时期</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本年度或项目期</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内落实到具体项目的资金。</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预算资金:一定时期</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本年度或项目期</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内预算安排到具体项目的资金。</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2023 年一般债券资金16200万元，截止2024年2月29日收到债券资金16200万元</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highlight w:val="yellow"/>
              </w:rPr>
            </w:pPr>
            <w:r>
              <w:rPr>
                <w:rFonts w:hint="default" w:ascii="Times New Roman" w:hAnsi="Times New Roman" w:eastAsia="宋体" w:cs="Times New Roman"/>
                <w:color w:val="auto"/>
                <w:sz w:val="20"/>
                <w:szCs w:val="20"/>
              </w:rPr>
              <w:t xml:space="preserve">即：债券资金到位率16200万元/16200万元=100%</w:t>
            </w:r>
            <w:r>
              <w:rPr>
                <w:rFonts w:hint="default" w:ascii="Times New Roman" w:hAnsi="Times New Roman" w:eastAsia="宋体" w:cs="Times New Roman"/>
                <w:color w:val="auto"/>
                <w:sz w:val="20"/>
                <w:szCs w:val="20"/>
                <w:highlight w:val="yellow"/>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资金到位率100%，不扣分。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r>
      <w:tr>
        <w:trPr>
          <w:gridAfter w:val="1"/>
          <w:jc w:val="center"/>
          <w:trHeight w:val="2470"/>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预算执行率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预算执行率=</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实际支出资金/实际到位资金</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 x100%</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实际支出资金:一定时期</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本年度或项目期</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内项目实际拨付的资金。债券预算执行率16200万元/16200万元=100%</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注：实际投资额16340.04万元，大于债券资金16200万元140.04万元，资金来源于债券利息收入243.21万元</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预算执行率100%不扣分。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r>
      <w:tr>
        <w:trPr>
          <w:gridAfter w:val="1"/>
          <w:jc w:val="center"/>
          <w:trHeight w:val="1987"/>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资金使用合规性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①是否符合国家财经法规和财务管理制度以及有关专项资金管理办法的规定:</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rPr>
              <w:t xml:space="preserve">②资金的拨付是否有完整的审批程序和手续</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③是否符合一般债券投向的规定或批复规定的用途:</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④是否存在截留、挤占、挪用、虚列支出等情况。</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每项1.25分④不符合标准，存在虚列支出，扣1.25分。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3.75分</w:t>
            </w:r>
            <w:r>
              <w:rPr>
                <w:rFonts w:hint="default" w:ascii="Times New Roman" w:hAnsi="Times New Roman" w:eastAsia="宋体" w:cs="Times New Roman"/>
                <w:color w:val="auto"/>
                <w:sz w:val="20"/>
                <w:szCs w:val="20"/>
              </w:rPr>
            </w:r>
          </w:p>
        </w:tc>
      </w:tr>
      <w:tr>
        <w:trPr>
          <w:gridAfter w:val="1"/>
          <w:jc w:val="center"/>
          <w:trHeight w:val="1860"/>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组织实施</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管理制度健全性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①是否已制定或具有相应的财务和业务管理制度:</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②财务和业务管理制度是否合法、合规、完整。</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每项2.5分，符合2项标准，不扣分。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r>
      <w:tr>
        <w:trPr>
          <w:gridAfter w:val="1"/>
          <w:jc w:val="center"/>
          <w:trHeight w:val="2145"/>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制度执行有效性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①是否遵守相关法律法规和相关管理规定:</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②项目调整及支出调整手续是否完备: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③项目合同书、验收报告、技术鉴定等资料是否齐全并及时归档：</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④项目实施的人员条件、场地设备、信息支撑等是否落实到位。</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 每项1.25分，资金到位不及时，资金拨付和支出没有按进度执行，存在虚列支出，扣2.5分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2.5分</w:t>
            </w:r>
            <w:r>
              <w:rPr>
                <w:rFonts w:hint="default" w:ascii="Times New Roman" w:hAnsi="Times New Roman" w:eastAsia="宋体" w:cs="Times New Roman"/>
                <w:color w:val="auto"/>
                <w:sz w:val="20"/>
                <w:szCs w:val="20"/>
              </w:rPr>
            </w:r>
          </w:p>
        </w:tc>
      </w:tr>
      <w:tr>
        <w:trPr>
          <w:gridAfter w:val="1"/>
          <w:jc w:val="center"/>
          <w:trHeight w:val="1821"/>
        </w:trPr>
        <w:tc>
          <w:tcPr>
            <w:shd w:val="clear" w:color="auto" w:fill="auto"/>
            <w:tcBorders/>
            <w:tcW w:w="399"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30分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368" w:type="pct"/>
            <w:vAlign w:val="center"/>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产出数量</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实际完成率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项目产出数量计划与实际完成指标如下：</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按照项目实施方案及相关资料，没有列示计划产出数量，实际完成产出数量指标：输水管线单排布置，管径1.6m，总长15.3km,建成后日供水量20万m³/d，多年平均供水量5160万</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rPr>
              <w:t xml:space="preserve">m³。</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本项10分，实际完成，但没有列示完整数量计划指标，扣2分。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8分</w:t>
            </w:r>
            <w:r>
              <w:rPr>
                <w:rFonts w:hint="default" w:ascii="Times New Roman" w:hAnsi="Times New Roman" w:eastAsia="宋体" w:cs="Times New Roman"/>
                <w:color w:val="auto"/>
                <w:sz w:val="20"/>
                <w:szCs w:val="20"/>
              </w:rPr>
            </w:r>
          </w:p>
        </w:tc>
      </w:tr>
      <w:tr>
        <w:trPr>
          <w:gridAfter w:val="1"/>
          <w:jc w:val="center"/>
          <w:trHeight w:val="2522"/>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产出质量</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质量达标率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产出达标率=（质量达标产出数/实际产出数）*100%。</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质量标准是指项目实施单位设立绩效目标时依据计划标准、行业标准、历史标准或其他标准而设定的绩效指标值。</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说明：本项目质量按施工进度验收合格,达到国家相关行业的质量检测标准,。</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注：没有列出质量指标。</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本项10分，符合质量标准，因没有列出质量指标，扣2分。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8分</w:t>
            </w:r>
            <w:r>
              <w:rPr>
                <w:rFonts w:hint="default" w:ascii="Times New Roman" w:hAnsi="Times New Roman" w:eastAsia="宋体" w:cs="Times New Roman"/>
                <w:color w:val="auto"/>
                <w:sz w:val="20"/>
                <w:szCs w:val="20"/>
              </w:rPr>
            </w:r>
          </w:p>
        </w:tc>
      </w:tr>
      <w:tr>
        <w:trPr>
          <w:gridAfter w:val="1"/>
          <w:jc w:val="center"/>
          <w:trHeight w:val="2239"/>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产出时效</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完成及时性</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pStyle w:val="724"/>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①实际完成时间：项目实施单位完成该项目实际所耗用的时间；</w:t>
            </w:r>
            <w:r>
              <w:rPr>
                <w:rFonts w:hint="default" w:ascii="Times New Roman" w:hAnsi="Times New Roman" w:eastAsia="宋体" w:cs="Times New Roman"/>
                <w:color w:val="auto"/>
                <w:sz w:val="20"/>
                <w:szCs w:val="20"/>
              </w:rPr>
            </w:r>
          </w:p>
          <w:p>
            <w:pPr>
              <w:pStyle w:val="724"/>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②计划完成时间：按照该项目实施计划或相关规定完成该项目所需的时间。</w:t>
            </w:r>
            <w:r>
              <w:rPr>
                <w:rFonts w:hint="default" w:ascii="Times New Roman" w:hAnsi="Times New Roman" w:eastAsia="宋体" w:cs="Times New Roman"/>
                <w:color w:val="auto"/>
                <w:sz w:val="20"/>
                <w:szCs w:val="20"/>
              </w:rPr>
            </w:r>
          </w:p>
          <w:p>
            <w:pPr>
              <w:pStyle w:val="724"/>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注：市发改委批复建设工期18个月。开工时间2020年8月28日，完工时间2021年8月25日。</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本项5分，项目实施没超过规定时限，不扣分。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r>
      <w:tr>
        <w:trPr>
          <w:gridAfter w:val="1"/>
          <w:jc w:val="center"/>
          <w:trHeight w:val="2161"/>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产出成本</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成本节约率</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成本节约率=</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（计划成本-实际成本）/计划成本</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*100%</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该项目预算成本或计划成本：预算一般债券16200万元，实际使用一般债券16200万元，债券利息收入243.21万元，项目计划总投资 18,895.48万元，实际投资总额16340.04万元，节约额2555.44万元，节约率13.52%。</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实际成本没有超过计划成本，不扣分。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5分</w:t>
            </w:r>
            <w:r>
              <w:rPr>
                <w:rFonts w:hint="default" w:ascii="Times New Roman" w:hAnsi="Times New Roman" w:eastAsia="宋体" w:cs="Times New Roman"/>
                <w:color w:val="auto"/>
                <w:sz w:val="20"/>
                <w:szCs w:val="20"/>
              </w:rPr>
            </w:r>
          </w:p>
        </w:tc>
      </w:tr>
      <w:tr>
        <w:trPr>
          <w:gridAfter w:val="1"/>
          <w:jc w:val="center"/>
          <w:trHeight w:val="2830"/>
        </w:trPr>
        <w:tc>
          <w:tcPr>
            <w:shd w:val="clear" w:color="auto" w:fill="auto"/>
            <w:tcBorders/>
            <w:tcW w:w="399"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效果</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30分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368" w:type="pct"/>
            <w:vAlign w:val="center"/>
            <w:vMerge w:val="restart"/>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项目效果</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30分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社会</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效益</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pStyle w:val="724"/>
              <w:keepNext w:val="false"/>
              <w:keepLines w:val="false"/>
              <w:pageBreakBefore w:val="false"/>
              <w:widowControl w:val="false"/>
              <w:numPr>
                <w:ilvl w:val="0"/>
                <w:numId w:val="2"/>
              </w:numPr>
              <w:pBdr/>
              <w:spacing w:line="280" w:lineRule="exact"/>
              <w:ind w:firstLine="0" w:left="0"/>
              <w:jc w:val="both"/>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 xml:space="preserve">实现供水管线日供水量20万方，供水水质提高，解决40万城区人民的安全饮水问题， 扩大了自来水的供水规模、供水范围，促进市区发展；</w:t>
            </w:r>
            <w:r>
              <w:rPr>
                <w:rFonts w:hint="default" w:ascii="Times New Roman" w:hAnsi="Times New Roman" w:eastAsia="宋体" w:cs="Times New Roman"/>
                <w:color w:val="auto"/>
                <w:sz w:val="20"/>
                <w:szCs w:val="20"/>
                <w:shd w:val="clear" w:color="auto" w:fill="ffffff"/>
              </w:rPr>
            </w:r>
          </w:p>
          <w:p>
            <w:pPr>
              <w:pStyle w:val="724"/>
              <w:keepNext w:val="false"/>
              <w:keepLines w:val="false"/>
              <w:pageBreakBefore w:val="false"/>
              <w:widowControl w:val="false"/>
              <w:numPr>
                <w:ilvl w:val="0"/>
                <w:numId w:val="2"/>
              </w:numPr>
              <w:pBdr/>
              <w:spacing w:line="280" w:lineRule="exact"/>
              <w:ind w:firstLine="0" w:left="0"/>
              <w:jc w:val="both"/>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 xml:space="preserve">解决了市区人口饮水供给能力不足问题，保证了饮水质量，提高了居民的生活水平，改善民生，不断满足人民群众对美好生活的新期待；</w:t>
            </w:r>
            <w:r>
              <w:rPr>
                <w:rFonts w:hint="default" w:ascii="Times New Roman" w:hAnsi="Times New Roman" w:eastAsia="宋体" w:cs="Times New Roman"/>
                <w:color w:val="auto"/>
                <w:sz w:val="20"/>
                <w:szCs w:val="20"/>
                <w:shd w:val="clear" w:color="auto" w:fill="ffffff"/>
              </w:rPr>
            </w:r>
          </w:p>
          <w:p>
            <w:pPr>
              <w:pStyle w:val="724"/>
              <w:keepNext w:val="false"/>
              <w:keepLines w:val="false"/>
              <w:pageBreakBefore w:val="false"/>
              <w:widowControl w:val="false"/>
              <w:numPr>
                <w:ilvl w:val="0"/>
                <w:numId w:val="2"/>
              </w:numPr>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shd w:val="clear" w:color="auto" w:fill="ffffff"/>
              </w:rPr>
              <w:t xml:space="preserve">通过科学规划和实施，促进供水事业稳定发展，保障经济建设。</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项目社会效益明显提高，不扣分。</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rPr>
            </w:r>
          </w:p>
        </w:tc>
      </w:tr>
      <w:tr>
        <w:trPr>
          <w:gridAfter w:val="1"/>
          <w:jc w:val="center"/>
          <w:trHeight w:val="4603"/>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可持续影响</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rPr>
            </w:r>
          </w:p>
        </w:tc>
        <w:tc>
          <w:tcPr>
            <w:shd w:val="clear" w:color="auto" w:fill="auto"/>
            <w:tcBorders/>
            <w:tcW w:w="2593" w:type="pct"/>
            <w:vAlign w:val="center"/>
            <w:textDirection w:val="lrTb"/>
            <w:noWrap w:val="false"/>
          </w:tcPr>
          <w:p>
            <w:pPr>
              <w:pStyle w:val="724"/>
              <w:keepNext w:val="false"/>
              <w:keepLines w:val="false"/>
              <w:pageBreakBefore w:val="false"/>
              <w:widowControl w:val="false"/>
              <w:numPr>
                <w:ilvl w:val="0"/>
                <w:numId w:val="2"/>
              </w:numPr>
              <w:pBdr/>
              <w:spacing w:line="280" w:lineRule="exact"/>
              <w:ind w:firstLine="0" w:left="0"/>
              <w:jc w:val="both"/>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t xml:space="preserve">加强管线巡查检查。重点检查阀门井，连接接头，伸缩结头及管道压力等运行。对于易发生破损或漏损的部位，应加大检查频率，及时发现并处理问题。同时，定期对管线进行维护保养，延长其使用寿命；</w:t>
            </w:r>
            <w:r>
              <w:rPr>
                <w:rFonts w:hint="default" w:ascii="Times New Roman" w:hAnsi="Times New Roman" w:eastAsia="宋体" w:cs="Times New Roman"/>
                <w:color w:val="auto"/>
                <w:sz w:val="20"/>
                <w:szCs w:val="20"/>
                <w:shd w:val="clear" w:color="auto" w:fill="ffffff"/>
              </w:rPr>
            </w:r>
          </w:p>
          <w:p>
            <w:pPr>
              <w:pStyle w:val="724"/>
              <w:keepNext w:val="false"/>
              <w:keepLines w:val="false"/>
              <w:pageBreakBefore w:val="false"/>
              <w:widowControl w:val="false"/>
              <w:numPr>
                <w:ilvl w:val="0"/>
                <w:numId w:val="2"/>
              </w:numPr>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shd w:val="clear" w:color="auto" w:fill="ffffff"/>
              </w:rPr>
              <w:t xml:space="preserve">持续优化监测体系。随着技术的不断进步和工程运行经验的积累，建议对现有的监测体系进行持续优化和升级，提高监测数据的准确性和实时性。</w:t>
            </w:r>
            <w:r>
              <w:rPr>
                <w:rFonts w:hint="default" w:ascii="Times New Roman" w:hAnsi="Times New Roman" w:eastAsia="宋体" w:cs="Times New Roman"/>
                <w:color w:val="auto"/>
                <w:sz w:val="20"/>
                <w:szCs w:val="20"/>
              </w:rPr>
            </w:r>
          </w:p>
          <w:p>
            <w:pPr>
              <w:pStyle w:val="724"/>
              <w:keepNext w:val="false"/>
              <w:keepLines w:val="false"/>
              <w:pageBreakBefore w:val="false"/>
              <w:widowControl w:val="false"/>
              <w:numPr>
                <w:ilvl w:val="0"/>
                <w:numId w:val="2"/>
              </w:numPr>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shd w:val="clear" w:color="auto" w:fill="ffffff"/>
              </w:rPr>
              <w:t xml:space="preserve">加强数据分析与利用。在收集到大量监测数据的基础上，建议加强数据分析与利用工作。通过对数据的深入挖掘和分析，可以揭示工程运行的内在规律和潜在问题，为管理决策提供有力支持。同时，可以将数据分析结果用于优化工程运行和维护方案，提高工程效益和可持续性。</w:t>
            </w:r>
            <w:r>
              <w:rPr>
                <w:rFonts w:hint="default" w:ascii="Times New Roman" w:hAnsi="Times New Roman" w:eastAsia="宋体" w:cs="Times New Roman"/>
                <w:color w:val="auto"/>
                <w:sz w:val="20"/>
                <w:szCs w:val="20"/>
              </w:rPr>
            </w:r>
          </w:p>
          <w:p>
            <w:pPr>
              <w:pStyle w:val="724"/>
              <w:keepNext w:val="false"/>
              <w:keepLines w:val="false"/>
              <w:pageBreakBefore w:val="false"/>
              <w:widowControl w:val="false"/>
              <w:numPr>
                <w:ilvl w:val="0"/>
                <w:numId w:val="2"/>
              </w:numPr>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shd w:val="clear" w:color="auto" w:fill="ffffff"/>
              </w:rPr>
              <w:t xml:space="preserve">鄂西北水资源配置可持续使用年</w:t>
            </w:r>
            <w:r>
              <w:rPr>
                <w:rFonts w:hint="default" w:ascii="Times New Roman" w:hAnsi="Times New Roman" w:eastAsia="宋体" w:cs="Times New Roman"/>
                <w:color w:val="auto"/>
                <w:sz w:val="20"/>
                <w:szCs w:val="20"/>
                <w:highlight w:val="none"/>
                <w:shd w:val="clear" w:color="auto" w:fill="ffffff"/>
              </w:rPr>
              <w:t xml:space="preserve">限20年</w:t>
            </w:r>
            <w:r>
              <w:rPr>
                <w:rFonts w:hint="default" w:ascii="Times New Roman" w:hAnsi="Times New Roman" w:eastAsia="宋体" w:cs="Times New Roman"/>
                <w:color w:val="auto"/>
                <w:sz w:val="20"/>
                <w:szCs w:val="20"/>
                <w:shd w:val="clear" w:color="auto" w:fill="ffffff"/>
              </w:rPr>
              <w:t xml:space="preserve">，显著增强区域社会经济持续发展能力。</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本项不扣分。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rPr>
            </w:r>
          </w:p>
        </w:tc>
      </w:tr>
      <w:tr>
        <w:trPr>
          <w:gridAfter w:val="1"/>
          <w:jc w:val="center"/>
          <w:trHeight w:val="2746"/>
        </w:trPr>
        <w:tc>
          <w:tcPr>
            <w:shd w:val="clear" w:color="auto" w:fill="auto"/>
            <w:tcBorders/>
            <w:tcW w:w="399"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368" w:type="pct"/>
            <w:vAlign w:val="center"/>
            <w:vMerge w:val="continue"/>
            <w:textDirection w:val="lrTb"/>
            <w:noWrap/>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shd w:val="clear" w:color="auto" w:fill="auto"/>
            <w:tcBorders/>
            <w:tcW w:w="562"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满意度</w:t>
            </w:r>
            <w:r>
              <w:rPr>
                <w:rFonts w:hint="default" w:ascii="Times New Roman" w:hAnsi="Times New Roman" w:eastAsia="宋体" w:cs="Times New Roman"/>
                <w:color w:val="auto"/>
                <w:sz w:val="20"/>
                <w:szCs w:val="20"/>
              </w:rPr>
            </w:r>
          </w:p>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rPr>
              <w:t xml:space="preserve">10分</w:t>
            </w:r>
            <w:r>
              <w:rPr>
                <w:rFonts w:hint="default" w:ascii="Times New Roman" w:hAnsi="Times New Roman" w:eastAsia="宋体" w:cs="Times New Roman"/>
                <w:color w:val="auto"/>
                <w:sz w:val="20"/>
                <w:szCs w:val="20"/>
                <w:lang w:eastAsia="zh-CN"/>
              </w:rPr>
              <w:t xml:space="preserve">）</w:t>
            </w:r>
            <w:r>
              <w:rPr>
                <w:rFonts w:hint="default" w:ascii="Times New Roman" w:hAnsi="Times New Roman" w:eastAsia="宋体" w:cs="Times New Roman"/>
                <w:color w:val="auto"/>
                <w:sz w:val="20"/>
                <w:szCs w:val="20"/>
                <w:lang w:eastAsia="zh-CN"/>
              </w:rPr>
            </w:r>
          </w:p>
        </w:tc>
        <w:tc>
          <w:tcPr>
            <w:shd w:val="clear" w:color="auto" w:fill="auto"/>
            <w:tcBorders/>
            <w:tcW w:w="2593" w:type="pct"/>
            <w:vAlign w:val="center"/>
            <w:textDirection w:val="lrTb"/>
            <w:noWrap w:val="false"/>
          </w:tcPr>
          <w:p>
            <w:pPr>
              <w:pStyle w:val="724"/>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①项目实施单位满意度：对工程质量和实现预期供水能力提高以及工程稳定运行满意；</w:t>
            </w:r>
            <w:r>
              <w:rPr>
                <w:rFonts w:hint="default" w:ascii="Times New Roman" w:hAnsi="Times New Roman" w:eastAsia="宋体" w:cs="Times New Roman"/>
                <w:color w:val="auto"/>
                <w:sz w:val="20"/>
                <w:szCs w:val="20"/>
              </w:rPr>
            </w:r>
          </w:p>
          <w:p>
            <w:pPr>
              <w:pStyle w:val="724"/>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② 服务对象满意度：</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z w:val="20"/>
                <w:szCs w:val="20"/>
              </w:rPr>
              <w:t xml:space="preserve">1实现供水管线日供水量20万方，解决40万城区人民的安全饮水问题，普遍满意。 </w:t>
            </w:r>
            <w:r>
              <w:rPr>
                <w:rFonts w:hint="default" w:ascii="Times New Roman" w:hAnsi="Times New Roman" w:eastAsia="宋体" w:cs="Times New Roman"/>
                <w:color w:val="auto"/>
                <w:sz w:val="20"/>
                <w:szCs w:val="20"/>
              </w:rPr>
            </w:r>
          </w:p>
          <w:p>
            <w:pPr>
              <w:pStyle w:val="724"/>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rPr>
            </w:r>
            <w:r>
              <w:rPr>
                <w:rFonts w:hint="default" w:ascii="Times New Roman" w:hAnsi="Times New Roman" w:eastAsia="宋体" w:cs="Times New Roman"/>
                <w:color w:val="auto"/>
                <w:sz w:val="20"/>
                <w:szCs w:val="20"/>
                <w:shd w:val="clear" w:color="auto" w:fill="ffffff"/>
              </w:rPr>
            </w:r>
          </w:p>
          <w:p>
            <w:pPr>
              <w:keepNext w:val="false"/>
              <w:keepLines w:val="false"/>
              <w:pageBreakBefore w:val="false"/>
              <w:widowControl w:val="false"/>
              <w:pBdr/>
              <w:spacing w:line="280" w:lineRule="exact"/>
              <w:ind w:firstLine="0" w:left="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shd w:val="clear" w:color="auto" w:fill="ffffff"/>
              </w:rPr>
              <w:t xml:space="preserve">说明：通过随机问卷调查、电话访问、现场走访等形式，对社会公众、受益对象满意度进行调查，达到95%以上为8分，85%-95%为6分；85%以下4分</w:t>
            </w:r>
            <w:r>
              <w:rPr>
                <w:rFonts w:hint="default" w:ascii="Times New Roman" w:hAnsi="Times New Roman" w:eastAsia="宋体" w:cs="Times New Roman"/>
                <w:color w:val="auto"/>
                <w:sz w:val="20"/>
                <w:szCs w:val="20"/>
              </w:rPr>
            </w:r>
          </w:p>
        </w:tc>
        <w:tc>
          <w:tcPr>
            <w:tcBorders/>
            <w:tcW w:w="844"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一般采取社会调查的方式，因调查问卷数量有限，扣2分。</w:t>
            </w:r>
            <w:r>
              <w:rPr>
                <w:rFonts w:hint="default" w:ascii="Times New Roman" w:hAnsi="Times New Roman" w:eastAsia="宋体" w:cs="Times New Roman"/>
                <w:color w:val="auto"/>
                <w:sz w:val="20"/>
                <w:szCs w:val="20"/>
              </w:rPr>
            </w:r>
          </w:p>
        </w:tc>
        <w:tc>
          <w:tcPr>
            <w:tcBorders/>
            <w:tcW w:w="229" w:type="pct"/>
            <w:vAlign w:val="center"/>
            <w:textDirection w:val="lrTb"/>
            <w:noWrap w:val="false"/>
          </w:tcPr>
          <w:p>
            <w:pPr>
              <w:keepNext w:val="false"/>
              <w:keepLines w:val="false"/>
              <w:pageBreakBefore w:val="false"/>
              <w:widowControl w:val="false"/>
              <w:pBdr/>
              <w:spacing w:line="280" w:lineRule="exact"/>
              <w:ind w:firstLine="0" w:left="0"/>
              <w:jc w:val="center"/>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8分</w:t>
            </w:r>
            <w:r>
              <w:rPr>
                <w:rFonts w:hint="default" w:ascii="Times New Roman" w:hAnsi="Times New Roman" w:eastAsia="宋体" w:cs="Times New Roman"/>
                <w:color w:val="auto"/>
                <w:sz w:val="20"/>
                <w:szCs w:val="20"/>
              </w:rPr>
            </w:r>
          </w:p>
        </w:tc>
      </w:tr>
    </w:tbl>
    <w:p>
      <w:pPr>
        <w:keepNext w:val="false"/>
        <w:keepLines w:val="false"/>
        <w:pageBreakBefore w:val="false"/>
        <w:widowControl w:val="false"/>
        <w:pBdr/>
        <w:spacing w:line="620" w:lineRule="exact"/>
        <w:ind w:firstLine="640" w:left="0"/>
        <w:jc w:val="both"/>
        <w:outlineLvl w:val="0"/>
        <w:rPr>
          <w:rFonts w:hint="eastAsia" w:ascii="黑体" w:hAnsi="黑体" w:eastAsia="黑体" w:cs="黑体"/>
          <w:b w:val="0"/>
          <w:bCs w:val="0"/>
          <w:color w:val="auto"/>
          <w:sz w:val="32"/>
          <w:szCs w:val="32"/>
        </w:rPr>
      </w:pPr>
      <w:r/>
      <w:bookmarkStart w:id="260" w:name="_Toc9093"/>
      <w:r>
        <w:rPr>
          <w:rFonts w:hint="eastAsia" w:ascii="黑体" w:hAnsi="黑体" w:eastAsia="黑体" w:cs="黑体"/>
          <w:b w:val="0"/>
          <w:bCs w:val="0"/>
          <w:color w:val="auto"/>
          <w:sz w:val="32"/>
          <w:szCs w:val="32"/>
        </w:rPr>
        <w:t xml:space="preserve">二、佐证材料</w:t>
      </w:r>
      <w:bookmarkEnd w:id="260"/>
      <w:r/>
      <w:r>
        <w:rPr>
          <w:rFonts w:hint="eastAsia" w:ascii="黑体" w:hAnsi="黑体" w:eastAsia="黑体" w:cs="黑体"/>
          <w:b w:val="0"/>
          <w:bCs w:val="0"/>
          <w:color w:val="auto"/>
          <w:sz w:val="32"/>
          <w:szCs w:val="32"/>
        </w:rPr>
      </w:r>
    </w:p>
    <w:p>
      <w:pPr>
        <w:keepNext w:val="false"/>
        <w:keepLines w:val="false"/>
        <w:pageBreakBefore w:val="false"/>
        <w:widowControl w:val="false"/>
        <w:pBdr/>
        <w:spacing w:line="620" w:lineRule="exact"/>
        <w:ind w:firstLine="643" w:left="0"/>
        <w:jc w:val="both"/>
        <w:outlineLvl w:val="1"/>
        <w:rPr>
          <w:rFonts w:hint="eastAsia" w:ascii="楷体_GB2312" w:hAnsi="楷体_GB2312" w:eastAsia="楷体_GB2312" w:cs="楷体_GB2312"/>
          <w:b/>
          <w:bCs/>
          <w:color w:val="auto"/>
          <w:sz w:val="32"/>
          <w:szCs w:val="32"/>
        </w:rPr>
      </w:pPr>
      <w:r/>
      <w:bookmarkStart w:id="261" w:name="_Toc16324"/>
      <w:r>
        <w:rPr>
          <w:rFonts w:hint="eastAsia" w:ascii="楷体_GB2312" w:hAnsi="楷体_GB2312" w:eastAsia="楷体_GB2312" w:cs="楷体_GB2312"/>
          <w:b/>
          <w:bCs/>
          <w:color w:val="auto"/>
          <w:sz w:val="32"/>
          <w:szCs w:val="32"/>
        </w:rPr>
        <w:t xml:space="preserve">（一）基本情况</w:t>
      </w:r>
      <w:bookmarkEnd w:id="261"/>
      <w:r/>
      <w:r>
        <w:rPr>
          <w:rFonts w:hint="eastAsia" w:ascii="楷体_GB2312" w:hAnsi="楷体_GB2312" w:eastAsia="楷体_GB2312" w:cs="楷体_GB2312"/>
          <w:b/>
          <w:bCs/>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color w:val="auto"/>
          <w:sz w:val="32"/>
          <w:szCs w:val="32"/>
        </w:rPr>
      </w:pPr>
      <w:r/>
      <w:bookmarkStart w:id="262" w:name="_Toc13993352"/>
      <w:r/>
      <w:bookmarkStart w:id="263" w:name="_Toc14297721"/>
      <w:r/>
      <w:bookmarkStart w:id="264" w:name="_Toc13993090"/>
      <w:r/>
      <w:bookmarkStart w:id="265" w:name="_Toc13993027"/>
      <w:r/>
      <w:bookmarkStart w:id="266" w:name="_Toc14610225"/>
      <w:r/>
      <w:bookmarkStart w:id="267" w:name="_Toc3347"/>
      <w:r/>
      <w:bookmarkStart w:id="268" w:name="_Toc5667"/>
      <w:r>
        <w:rPr>
          <w:rFonts w:hint="default" w:ascii="Times New Roman" w:hAnsi="Times New Roman" w:eastAsia="仿宋_GB2312" w:cs="Times New Roman"/>
          <w:b/>
          <w:color w:val="auto"/>
          <w:sz w:val="32"/>
          <w:szCs w:val="32"/>
        </w:rPr>
        <w:t xml:space="preserve">1、项目立项</w:t>
      </w:r>
      <w:bookmarkEnd w:id="262"/>
      <w:r/>
      <w:bookmarkEnd w:id="263"/>
      <w:r/>
      <w:bookmarkEnd w:id="264"/>
      <w:r/>
      <w:bookmarkEnd w:id="265"/>
      <w:r/>
      <w:bookmarkEnd w:id="266"/>
      <w:r>
        <w:rPr>
          <w:rFonts w:hint="default" w:ascii="Times New Roman" w:hAnsi="Times New Roman" w:eastAsia="仿宋_GB2312" w:cs="Times New Roman"/>
          <w:b/>
          <w:color w:val="auto"/>
          <w:sz w:val="32"/>
          <w:szCs w:val="32"/>
        </w:rPr>
        <w:t xml:space="preserve">目的</w:t>
      </w:r>
      <w:bookmarkEnd w:id="267"/>
      <w:r/>
      <w:bookmarkEnd w:id="268"/>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根据《随州市城乡总体规划（2016-2030年）》中人口与城市发展目标，参照《城市给水工程规划规范》（50282-2016），2025年随州市最大供水能力应达到28万吨/日，2030年随州市最大供水能力应达到45万吨/日。</w:t>
      </w:r>
      <w:r>
        <w:rPr>
          <w:rFonts w:hint="default" w:ascii="Times New Roman" w:hAnsi="Times New Roman" w:eastAsia="仿宋_GB2312" w:cs="Times New Roman"/>
          <w:bCs/>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随州市城区原有供水管线运行多年，无论是水量还是水压都不能满足供水需求，目前随州城、郊区4座水厂，最大供水能力为13.5万吨/日，存在较大的供水缺口。随州市社会经济发展迅速，人口及工业产值均呈现较快增长，用水量将持续急剧上升，用水紧张的矛盾将日益突出。</w:t>
      </w:r>
      <w:r>
        <w:rPr>
          <w:rFonts w:hint="default" w:ascii="Times New Roman" w:hAnsi="Times New Roman" w:eastAsia="仿宋_GB2312" w:cs="Times New Roman"/>
          <w:bCs/>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为适应城乡发展规划的需要，新建鄂北地区水资源二期随州市先觉庙分水口配套工程，以先觉庙水库为水源，到达城东水厂，建成“大水源配置、大水厂建设、大管网延伸、大体量运营”的输水管网，才有稳定保障，才会降低成本，才能良性运营，可持续运营20年无忧，达到实现城区人民安全饮水的目的。</w:t>
      </w:r>
      <w:bookmarkStart w:id="269" w:name="_Hlk173075345"/>
      <w:r/>
      <w:bookmarkEnd w:id="269"/>
      <w:r>
        <w:rPr>
          <w:rFonts w:hint="default" w:ascii="Times New Roman" w:hAnsi="Times New Roman" w:eastAsia="仿宋_GB2312" w:cs="Times New Roman"/>
          <w:bCs/>
          <w:color w:val="auto"/>
          <w:sz w:val="32"/>
          <w:szCs w:val="32"/>
        </w:rPr>
      </w:r>
    </w:p>
    <w:p>
      <w:pPr>
        <w:keepNext w:val="false"/>
        <w:keepLines w:val="false"/>
        <w:pageBreakBefore w:val="false"/>
        <w:widowControl w:val="false"/>
        <w:numPr>
          <w:ilvl w:val="0"/>
          <w:numId w:val="3"/>
        </w:numPr>
        <w:pBdr/>
        <w:spacing w:line="620" w:lineRule="exact"/>
        <w:ind w:firstLine="643" w:left="0"/>
        <w:jc w:val="both"/>
        <w:outlineLvl w:val="2"/>
        <w:rPr>
          <w:rFonts w:hint="default" w:ascii="Times New Roman" w:hAnsi="Times New Roman" w:eastAsia="仿宋_GB2312" w:cs="Times New Roman"/>
          <w:b/>
          <w:color w:val="auto"/>
          <w:sz w:val="32"/>
          <w:szCs w:val="32"/>
        </w:rPr>
      </w:pPr>
      <w:r/>
      <w:bookmarkStart w:id="270" w:name="_Toc15767"/>
      <w:r/>
      <w:bookmarkStart w:id="271" w:name="_Toc14610228"/>
      <w:r/>
      <w:bookmarkStart w:id="272" w:name="_Toc7101"/>
      <w:r>
        <w:rPr>
          <w:rFonts w:hint="default" w:ascii="Times New Roman" w:hAnsi="Times New Roman" w:eastAsia="仿宋_GB2312" w:cs="Times New Roman"/>
          <w:b/>
          <w:color w:val="auto"/>
          <w:sz w:val="32"/>
          <w:szCs w:val="32"/>
        </w:rPr>
        <w:t xml:space="preserve">项目绩效目标</w:t>
      </w:r>
      <w:bookmarkEnd w:id="270"/>
      <w:r/>
      <w:bookmarkEnd w:id="271"/>
      <w:r/>
      <w:bookmarkEnd w:id="272"/>
      <w:r/>
      <w:bookmarkStart w:id="273" w:name="_Toc18523"/>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根据2020 年 1 月 21 日随州市发展和改革委员会下发《鄂北地区水资源配置二期随州市先觉庙分水口配套工程实施方案的批复》（随发改审批服务［2020］6 号）文，批复项目设计概算 18,895.48 万元，资金来源为政府债券资金；</w:t>
      </w:r>
      <w:r>
        <w:rPr>
          <w:rFonts w:hint="default" w:ascii="Times New Roman" w:hAnsi="Times New Roman" w:eastAsia="仿宋_GB2312" w:cs="Times New Roman"/>
          <w:bCs/>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工程以先觉庙水库为水源，输水管线先后经过万店镇先觉庙村和淅河镇阳光村、人民桥村、孙家湾村、龙头湾村、石桥村、金屯村、北郊办事处九间屋村及曾都经济开发区寨湾村到达城东水厂，工程由分层取水口、补偿加压泵站及输水管线组成，输水管线单排布置，管径 1.6m，总长 15.368km，设计供水流量 2.43m³/S,多年平均供水量 5160 万 m³,输水管线为Ⅲ等中型工程。</w:t>
      </w:r>
      <w:r>
        <w:rPr>
          <w:rFonts w:hint="default" w:ascii="Times New Roman" w:hAnsi="Times New Roman" w:eastAsia="仿宋_GB2312" w:cs="Times New Roman"/>
          <w:bCs/>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先觉庙分水口配套工程建设项目是重要的民生工程，通过实施该项目，达到改善原供水管线供水水量不足的状况，实现随着随州市城区发展，满足水量持续急剧上升的需求，保障供水水压及供水水质，让随州市人民喝上洁净、优质的丹江水，解决随州市区安全饮水问题，</w:t>
      </w:r>
      <w:r>
        <w:rPr>
          <w:rFonts w:hint="default" w:ascii="Times New Roman" w:hAnsi="Times New Roman" w:eastAsia="仿宋_GB2312" w:cs="Times New Roman"/>
          <w:bCs/>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color w:val="auto"/>
          <w:sz w:val="32"/>
          <w:szCs w:val="32"/>
        </w:rPr>
      </w:pPr>
      <w:r/>
      <w:bookmarkStart w:id="274" w:name="_Toc450"/>
      <w:r>
        <w:rPr>
          <w:rFonts w:hint="default" w:ascii="Times New Roman" w:hAnsi="Times New Roman" w:eastAsia="仿宋_GB2312" w:cs="Times New Roman"/>
          <w:b/>
          <w:color w:val="auto"/>
          <w:sz w:val="32"/>
          <w:szCs w:val="32"/>
        </w:rPr>
        <w:t xml:space="preserve">3、项目资金情况</w:t>
      </w:r>
      <w:bookmarkEnd w:id="273"/>
      <w:r/>
      <w:bookmarkEnd w:id="274"/>
      <w:r/>
      <w:r>
        <w:rPr>
          <w:rFonts w:hint="default" w:ascii="Times New Roman" w:hAnsi="Times New Roman" w:eastAsia="仿宋_GB2312" w:cs="Times New Roman"/>
          <w:b/>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（1）项目资金来源结构</w:t>
      </w:r>
      <w:r>
        <w:rPr>
          <w:rFonts w:hint="default" w:ascii="Times New Roman" w:hAnsi="Times New Roman" w:eastAsia="仿宋_GB2312" w:cs="Times New Roman"/>
          <w:color w:val="auto"/>
          <w:sz w:val="32"/>
          <w:szCs w:val="32"/>
        </w:rPr>
      </w:r>
    </w:p>
    <w:tbl>
      <w:tblPr>
        <w:tblStyle w:val="72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5094"/>
        <w:gridCol w:w="3435"/>
      </w:tblGrid>
      <w:tr>
        <w:trPr>
          <w:jc w:val="center"/>
        </w:trPr>
        <w:tc>
          <w:tcPr>
            <w:tcBorders/>
            <w:tcW w:w="5094" w:type="dxa"/>
            <w:vAlign w:val="center"/>
            <w:textDirection w:val="lrTb"/>
            <w:noWrap w:val="false"/>
          </w:tcPr>
          <w:p>
            <w:pPr>
              <w:keepNext w:val="false"/>
              <w:keepLines w:val="false"/>
              <w:pageBreakBefore w:val="false"/>
              <w:widowControl w:val="false"/>
              <w:pBdr/>
              <w:spacing w:line="400" w:lineRule="exact"/>
              <w:ind/>
              <w:jc w:val="center"/>
              <w:rPr>
                <w:rFonts w:hint="eastAsia" w:ascii="黑体" w:hAnsi="黑体" w:eastAsia="黑体" w:cs="黑体"/>
                <w:color w:val="auto"/>
                <w:sz w:val="24"/>
                <w:szCs w:val="24"/>
              </w:rPr>
            </w:pPr>
            <w:r>
              <w:rPr>
                <w:rFonts w:hint="eastAsia" w:ascii="黑体" w:hAnsi="黑体" w:eastAsia="黑体" w:cs="黑体"/>
                <w:color w:val="auto"/>
                <w:sz w:val="24"/>
                <w:szCs w:val="24"/>
              </w:rPr>
              <w:t xml:space="preserve">项   目</w:t>
            </w:r>
            <w:r>
              <w:rPr>
                <w:rFonts w:hint="eastAsia" w:ascii="黑体" w:hAnsi="黑体" w:eastAsia="黑体" w:cs="黑体"/>
                <w:color w:val="auto"/>
                <w:sz w:val="24"/>
                <w:szCs w:val="24"/>
              </w:rPr>
            </w:r>
          </w:p>
        </w:tc>
        <w:tc>
          <w:tcPr>
            <w:tcBorders/>
            <w:tcW w:w="3435" w:type="dxa"/>
            <w:vAlign w:val="center"/>
            <w:textDirection w:val="lrTb"/>
            <w:noWrap w:val="false"/>
          </w:tcPr>
          <w:p>
            <w:pPr>
              <w:keepNext w:val="false"/>
              <w:keepLines w:val="false"/>
              <w:pageBreakBefore w:val="false"/>
              <w:widowControl w:val="false"/>
              <w:pBdr/>
              <w:spacing w:line="400" w:lineRule="exact"/>
              <w:ind/>
              <w:jc w:val="center"/>
              <w:rPr>
                <w:rFonts w:hint="eastAsia" w:ascii="黑体" w:hAnsi="黑体" w:eastAsia="黑体" w:cs="黑体"/>
                <w:color w:val="auto"/>
                <w:sz w:val="24"/>
                <w:szCs w:val="24"/>
              </w:rPr>
            </w:pPr>
            <w:r>
              <w:rPr>
                <w:rFonts w:hint="eastAsia" w:ascii="黑体" w:hAnsi="黑体" w:eastAsia="黑体" w:cs="黑体"/>
                <w:color w:val="auto"/>
                <w:sz w:val="24"/>
                <w:szCs w:val="24"/>
              </w:rPr>
              <w:t xml:space="preserve">金额（万元）</w:t>
            </w:r>
            <w:r>
              <w:rPr>
                <w:rFonts w:hint="eastAsia" w:ascii="黑体" w:hAnsi="黑体" w:eastAsia="黑体" w:cs="黑体"/>
                <w:color w:val="auto"/>
                <w:sz w:val="24"/>
                <w:szCs w:val="24"/>
              </w:rPr>
            </w:r>
          </w:p>
        </w:tc>
      </w:tr>
      <w:tr>
        <w:trPr>
          <w:jc w:val="center"/>
        </w:trPr>
        <w:tc>
          <w:tcPr>
            <w:tcBorders/>
            <w:tcW w:w="5094" w:type="dxa"/>
            <w:vAlign w:val="center"/>
            <w:textDirection w:val="lrTb"/>
            <w:noWrap w:val="false"/>
          </w:tcPr>
          <w:p>
            <w:pPr>
              <w:keepNext w:val="false"/>
              <w:keepLines w:val="false"/>
              <w:pageBreakBefore w:val="false"/>
              <w:widowControl w:val="false"/>
              <w:pBdr/>
              <w:spacing w:line="400" w:lineRule="exact"/>
              <w:in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一般债券</w:t>
            </w:r>
            <w:r>
              <w:rPr>
                <w:rFonts w:hint="default" w:ascii="Times New Roman" w:hAnsi="Times New Roman" w:eastAsia="宋体" w:cs="Times New Roman"/>
                <w:color w:val="auto"/>
                <w:sz w:val="24"/>
                <w:szCs w:val="24"/>
              </w:rPr>
            </w:r>
          </w:p>
        </w:tc>
        <w:tc>
          <w:tcPr>
            <w:tcBorders/>
            <w:tcW w:w="3435" w:type="dxa"/>
            <w:vAlign w:val="center"/>
            <w:textDirection w:val="lrTb"/>
            <w:noWrap w:val="false"/>
          </w:tcPr>
          <w:p>
            <w:pPr>
              <w:keepNext w:val="false"/>
              <w:keepLines w:val="false"/>
              <w:pageBreakBefore w:val="false"/>
              <w:widowControl w:val="false"/>
              <w:pBdr/>
              <w:spacing w:line="400" w:lineRule="exact"/>
              <w:in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16,200.00</w:t>
            </w:r>
            <w:r>
              <w:rPr>
                <w:rFonts w:hint="default" w:ascii="Times New Roman" w:hAnsi="Times New Roman" w:eastAsia="宋体" w:cs="Times New Roman"/>
                <w:color w:val="auto"/>
                <w:sz w:val="24"/>
                <w:szCs w:val="24"/>
              </w:rPr>
            </w:r>
          </w:p>
        </w:tc>
      </w:tr>
      <w:tr>
        <w:trPr>
          <w:jc w:val="center"/>
        </w:trPr>
        <w:tc>
          <w:tcPr>
            <w:tcBorders/>
            <w:tcW w:w="5094" w:type="dxa"/>
            <w:vAlign w:val="center"/>
            <w:textDirection w:val="lrTb"/>
            <w:noWrap w:val="false"/>
          </w:tcPr>
          <w:p>
            <w:pPr>
              <w:keepNext w:val="false"/>
              <w:keepLines w:val="false"/>
              <w:pageBreakBefore w:val="false"/>
              <w:widowControl w:val="false"/>
              <w:pBdr/>
              <w:spacing w:line="400" w:lineRule="exact"/>
              <w:in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银行存款利息收入</w:t>
            </w:r>
            <w:r>
              <w:rPr>
                <w:rFonts w:hint="default" w:ascii="Times New Roman" w:hAnsi="Times New Roman" w:eastAsia="宋体" w:cs="Times New Roman"/>
                <w:color w:val="auto"/>
                <w:sz w:val="24"/>
                <w:szCs w:val="24"/>
              </w:rPr>
            </w:r>
          </w:p>
        </w:tc>
        <w:tc>
          <w:tcPr>
            <w:tcBorders/>
            <w:tcW w:w="3435" w:type="dxa"/>
            <w:vAlign w:val="center"/>
            <w:textDirection w:val="lrTb"/>
            <w:noWrap w:val="false"/>
          </w:tcPr>
          <w:p>
            <w:pPr>
              <w:keepNext w:val="false"/>
              <w:keepLines w:val="false"/>
              <w:pageBreakBefore w:val="false"/>
              <w:widowControl w:val="false"/>
              <w:pBdr/>
              <w:spacing w:line="400" w:lineRule="exact"/>
              <w:ind/>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243.22</w:t>
            </w:r>
            <w:r>
              <w:rPr>
                <w:rFonts w:hint="default" w:ascii="Times New Roman" w:hAnsi="Times New Roman" w:eastAsia="宋体" w:cs="Times New Roman"/>
                <w:color w:val="auto"/>
                <w:sz w:val="24"/>
                <w:szCs w:val="24"/>
              </w:rPr>
            </w:r>
          </w:p>
        </w:tc>
      </w:tr>
      <w:tr>
        <w:trPr>
          <w:jc w:val="center"/>
        </w:trPr>
        <w:tc>
          <w:tcPr>
            <w:tcBorders/>
            <w:tcW w:w="5094" w:type="dxa"/>
            <w:vAlign w:val="center"/>
            <w:textDirection w:val="lrTb"/>
            <w:noWrap w:val="false"/>
          </w:tcPr>
          <w:p>
            <w:pPr>
              <w:keepNext w:val="false"/>
              <w:keepLines w:val="false"/>
              <w:pageBreakBefore w:val="false"/>
              <w:widowControl w:val="false"/>
              <w:pBdr/>
              <w:spacing w:line="400" w:lineRule="exact"/>
              <w:ind w:firstLine="241"/>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合  计</w:t>
            </w:r>
            <w:r>
              <w:rPr>
                <w:rFonts w:hint="default" w:ascii="Times New Roman" w:hAnsi="Times New Roman" w:eastAsia="宋体" w:cs="Times New Roman"/>
                <w:b/>
                <w:bCs/>
                <w:color w:val="auto"/>
                <w:sz w:val="24"/>
                <w:szCs w:val="24"/>
              </w:rPr>
            </w:r>
          </w:p>
        </w:tc>
        <w:tc>
          <w:tcPr>
            <w:tcBorders/>
            <w:tcW w:w="3435" w:type="dxa"/>
            <w:vAlign w:val="center"/>
            <w:textDirection w:val="lrTb"/>
            <w:noWrap w:val="false"/>
          </w:tcPr>
          <w:p>
            <w:pPr>
              <w:keepNext w:val="false"/>
              <w:keepLines w:val="false"/>
              <w:pageBreakBefore w:val="false"/>
              <w:widowControl w:val="false"/>
              <w:pBdr/>
              <w:spacing w:line="400" w:lineRule="exact"/>
              <w:ind/>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 xml:space="preserve">16,443.22</w:t>
            </w:r>
            <w:r>
              <w:rPr>
                <w:rFonts w:hint="default" w:ascii="Times New Roman" w:hAnsi="Times New Roman" w:eastAsia="宋体" w:cs="Times New Roman"/>
                <w:b/>
                <w:bCs/>
                <w:color w:val="auto"/>
                <w:sz w:val="24"/>
                <w:szCs w:val="24"/>
              </w:rPr>
            </w:r>
          </w:p>
        </w:tc>
      </w:tr>
    </w:tbl>
    <w:p>
      <w:pPr>
        <w:keepNext w:val="false"/>
        <w:keepLines w:val="false"/>
        <w:pageBreakBefore w:val="false"/>
        <w:widowControl w:val="false"/>
        <w:pBdr/>
        <w:spacing w:line="480" w:lineRule="exact"/>
        <w:ind w:firstLine="480" w:left="0"/>
        <w:jc w:val="both"/>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 xml:space="preserve">说明：截止2024 年 2 月 29 日止，鄂北地区水资源配置二期随州市先觉庙分水口配套工程一般实际到位一般债券资金 16,200 万元。</w:t>
      </w:r>
      <w:r>
        <w:rPr>
          <w:rFonts w:hint="default" w:ascii="Times New Roman" w:hAnsi="Times New Roman" w:eastAsia="楷体_GB2312" w:cs="Times New Roman"/>
          <w:color w:val="auto"/>
          <w:sz w:val="24"/>
          <w:szCs w:val="24"/>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（2）项目资金使用情况</w:t>
      </w:r>
      <w:r>
        <w:rPr>
          <w:rFonts w:hint="default" w:ascii="Times New Roman" w:hAnsi="Times New Roman" w:eastAsia="仿宋_GB2312" w:cs="Times New Roman"/>
          <w:color w:val="auto"/>
          <w:sz w:val="32"/>
          <w:szCs w:val="32"/>
        </w:rPr>
      </w:r>
    </w:p>
    <w:p>
      <w:pPr>
        <w:pStyle w:val="718"/>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预算资金使用情况如下表：  </w:t>
      </w:r>
      <w:r>
        <w:rPr>
          <w:rFonts w:hint="default" w:ascii="Times New Roman" w:hAnsi="Times New Roman" w:eastAsia="仿宋_GB2312" w:cs="Times New Roman"/>
          <w:color w:val="auto"/>
          <w:sz w:val="32"/>
          <w:szCs w:val="32"/>
        </w:rPr>
      </w:r>
    </w:p>
    <w:p>
      <w:pPr>
        <w:pStyle w:val="718"/>
        <w:keepNext w:val="false"/>
        <w:keepLines w:val="false"/>
        <w:pageBreakBefore w:val="false"/>
        <w:widowControl w:val="false"/>
        <w:pBdr/>
        <w:spacing w:line="620" w:lineRule="exact"/>
        <w:ind w:firstLine="640" w:left="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24"/>
          <w:szCs w:val="24"/>
        </w:rPr>
        <w:t xml:space="preserve"> 单位：万元</w:t>
      </w:r>
      <w:r>
        <w:rPr>
          <w:rFonts w:hint="default" w:ascii="Times New Roman" w:hAnsi="Times New Roman" w:eastAsia="仿宋_GB2312" w:cs="Times New Roman"/>
          <w:color w:val="auto"/>
          <w:sz w:val="32"/>
          <w:szCs w:val="32"/>
        </w:rPr>
      </w:r>
    </w:p>
    <w:tbl>
      <w:tblPr>
        <w:tblStyle w:val="72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left w:w="108" w:type="dxa"/>
          <w:top w:w="0" w:type="dxa"/>
          <w:right w:w="108" w:type="dxa"/>
          <w:bottom w:w="0" w:type="dxa"/>
        </w:tblCellMar>
        <w:tblLook w:val="04A0" w:firstRow="1" w:lastRow="0" w:firstColumn="1" w:lastColumn="0" w:noHBand="0" w:noVBand="1"/>
      </w:tblPr>
      <w:tblGrid>
        <w:gridCol w:w="2720"/>
        <w:gridCol w:w="1783"/>
        <w:gridCol w:w="1667"/>
        <w:gridCol w:w="2352"/>
      </w:tblGrid>
      <w:tr>
        <w:trPr>
          <w:jc w:val="center"/>
          <w:tblHeader/>
        </w:trPr>
        <w:tc>
          <w:tcPr>
            <w:tcBorders/>
            <w:tcW w:w="2720" w:type="dxa"/>
            <w:vAlign w:val="center"/>
            <w:textDirection w:val="lrTb"/>
            <w:noWrap w:val="false"/>
          </w:tcPr>
          <w:p>
            <w:pPr>
              <w:pStyle w:val="718"/>
              <w:keepNext w:val="false"/>
              <w:keepLines w:val="false"/>
              <w:pageBreakBefore w:val="false"/>
              <w:widowControl w:val="false"/>
              <w:pBdr/>
              <w:spacing/>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工程项目</w:t>
            </w:r>
            <w:r>
              <w:rPr>
                <w:rFonts w:hint="eastAsia" w:ascii="黑体" w:hAnsi="黑体" w:eastAsia="黑体" w:cs="黑体"/>
                <w:color w:val="auto"/>
                <w:sz w:val="20"/>
                <w:szCs w:val="20"/>
              </w:rPr>
            </w:r>
          </w:p>
        </w:tc>
        <w:tc>
          <w:tcPr>
            <w:tcBorders/>
            <w:tcW w:w="1783" w:type="dxa"/>
            <w:vAlign w:val="center"/>
            <w:textDirection w:val="lrTb"/>
            <w:noWrap w:val="false"/>
          </w:tcPr>
          <w:p>
            <w:pPr>
              <w:pStyle w:val="718"/>
              <w:keepNext w:val="false"/>
              <w:keepLines w:val="false"/>
              <w:pageBreakBefore w:val="false"/>
              <w:widowControl w:val="false"/>
              <w:pBdr/>
              <w:spacing/>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批准概算</w:t>
            </w:r>
            <w:r>
              <w:rPr>
                <w:rFonts w:hint="eastAsia" w:ascii="黑体" w:hAnsi="黑体" w:eastAsia="黑体" w:cs="黑体"/>
                <w:color w:val="auto"/>
                <w:sz w:val="20"/>
                <w:szCs w:val="20"/>
              </w:rPr>
            </w:r>
          </w:p>
        </w:tc>
        <w:tc>
          <w:tcPr>
            <w:tcBorders/>
            <w:tcW w:w="1667" w:type="dxa"/>
            <w:vAlign w:val="center"/>
            <w:textDirection w:val="lrTb"/>
            <w:noWrap w:val="false"/>
          </w:tcPr>
          <w:p>
            <w:pPr>
              <w:pStyle w:val="718"/>
              <w:keepNext w:val="false"/>
              <w:keepLines w:val="false"/>
              <w:pageBreakBefore w:val="false"/>
              <w:widowControl w:val="false"/>
              <w:pBdr/>
              <w:spacing/>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实际支出</w:t>
            </w:r>
            <w:r>
              <w:rPr>
                <w:rFonts w:hint="eastAsia" w:ascii="黑体" w:hAnsi="黑体" w:eastAsia="黑体" w:cs="黑体"/>
                <w:color w:val="auto"/>
                <w:sz w:val="20"/>
                <w:szCs w:val="20"/>
              </w:rPr>
            </w:r>
          </w:p>
        </w:tc>
        <w:tc>
          <w:tcPr>
            <w:tcBorders/>
            <w:tcW w:w="2352" w:type="dxa"/>
            <w:vAlign w:val="center"/>
            <w:textDirection w:val="lrTb"/>
            <w:noWrap w:val="false"/>
          </w:tcPr>
          <w:p>
            <w:pPr>
              <w:pStyle w:val="718"/>
              <w:keepNext w:val="false"/>
              <w:keepLines w:val="false"/>
              <w:pageBreakBefore w:val="false"/>
              <w:widowControl w:val="false"/>
              <w:pBdr/>
              <w:spacing/>
              <w:ind w:firstLine="0"/>
              <w:jc w:val="center"/>
              <w:rPr>
                <w:rFonts w:hint="eastAsia" w:ascii="黑体" w:hAnsi="黑体" w:eastAsia="黑体" w:cs="黑体"/>
                <w:color w:val="auto"/>
                <w:sz w:val="20"/>
                <w:szCs w:val="20"/>
              </w:rPr>
            </w:pPr>
            <w:r>
              <w:rPr>
                <w:rFonts w:hint="eastAsia" w:ascii="黑体" w:hAnsi="黑体" w:eastAsia="黑体" w:cs="黑体"/>
                <w:color w:val="auto"/>
                <w:sz w:val="20"/>
                <w:szCs w:val="20"/>
              </w:rPr>
              <w:t xml:space="preserve">与概算比增减额</w:t>
            </w:r>
            <w:r>
              <w:rPr>
                <w:rFonts w:hint="eastAsia" w:ascii="黑体" w:hAnsi="黑体" w:eastAsia="黑体" w:cs="黑体"/>
                <w:color w:val="auto"/>
                <w:sz w:val="20"/>
                <w:szCs w:val="20"/>
              </w:rPr>
            </w:r>
          </w:p>
        </w:tc>
      </w:tr>
      <w:tr>
        <w:trPr>
          <w:jc w:val="center"/>
          <w:trHeight w:val="454"/>
        </w:trPr>
        <w:tc>
          <w:tcPr>
            <w:tcBorders/>
            <w:tcW w:w="2720" w:type="dxa"/>
            <w:vAlign w:val="center"/>
            <w:textDirection w:val="lrTb"/>
            <w:noWrap w:val="false"/>
          </w:tcPr>
          <w:p>
            <w:pPr>
              <w:pStyle w:val="718"/>
              <w:pBdr/>
              <w:spacing/>
              <w:ind w:firstLine="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建筑工程</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11,721.33</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11,330.58</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-390.75</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机电设备及安装</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883.87</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660.26</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-223.61</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jc w:val="both"/>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金属结构及安装</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105.61</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131.96</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26.35</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临时工程</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998.68</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762.68</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-236.00</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独立费用</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1,843.63</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1,486.92</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-356.71</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rPr>
                <w:rFonts w:hint="default" w:ascii="Times New Roman" w:hAnsi="Times New Roman" w:eastAsia="宋体" w:cs="Times New Roman"/>
                <w:color w:val="auto"/>
                <w:sz w:val="20"/>
                <w:szCs w:val="20"/>
              </w:rPr>
            </w:pPr>
            <w:r/>
            <w:bookmarkStart w:id="275" w:name="_Hlk173082972"/>
            <w:r>
              <w:rPr>
                <w:rFonts w:hint="default" w:ascii="Times New Roman" w:hAnsi="Times New Roman" w:eastAsia="宋体" w:cs="Times New Roman"/>
                <w:color w:val="auto"/>
                <w:sz w:val="20"/>
                <w:szCs w:val="20"/>
              </w:rPr>
              <w:t xml:space="preserve">基本预备费</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bookmarkStart w:id="276" w:name="_Hlk173170948"/>
            <w:r>
              <w:rPr>
                <w:rFonts w:hint="default" w:ascii="Times New Roman" w:hAnsi="Times New Roman" w:eastAsia="宋体" w:cs="Times New Roman"/>
                <w:color w:val="auto"/>
                <w:sz w:val="20"/>
                <w:szCs w:val="20"/>
              </w:rPr>
              <w:t xml:space="preserve">777.66</w:t>
            </w:r>
            <w:bookmarkEnd w:id="276"/>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-777.66</w:t>
            </w:r>
            <w:bookmarkEnd w:id="275"/>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征地移民</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1,962.13</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1,562.60</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-399.53</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环境保护</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154.10</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40.82</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-113.28</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Style w:val="718"/>
              <w:pBdr/>
              <w:spacing/>
              <w:ind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水土保持</w:t>
            </w:r>
            <w:r>
              <w:rPr>
                <w:rFonts w:hint="default" w:ascii="Times New Roman" w:hAnsi="Times New Roman" w:eastAsia="宋体" w:cs="Times New Roman"/>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448.47</w:t>
            </w:r>
            <w:r>
              <w:rPr>
                <w:rFonts w:hint="default" w:ascii="Times New Roman" w:hAnsi="Times New Roman" w:eastAsia="宋体" w:cs="Times New Roman"/>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364.22</w:t>
            </w:r>
            <w:r>
              <w:rPr>
                <w:rFonts w:hint="default" w:ascii="Times New Roman" w:hAnsi="Times New Roman" w:eastAsia="宋体" w:cs="Times New Roman"/>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 xml:space="preserve">-84.25</w:t>
            </w:r>
            <w:r>
              <w:rPr>
                <w:rFonts w:hint="default" w:ascii="Times New Roman" w:hAnsi="Times New Roman" w:eastAsia="宋体" w:cs="Times New Roman"/>
                <w:color w:val="auto"/>
                <w:sz w:val="20"/>
                <w:szCs w:val="20"/>
              </w:rPr>
            </w:r>
          </w:p>
        </w:tc>
      </w:tr>
      <w:tr>
        <w:trPr>
          <w:jc w:val="center"/>
          <w:trHeight w:val="454"/>
        </w:trPr>
        <w:tc>
          <w:tcPr>
            <w:tcBorders/>
            <w:tcW w:w="2720" w:type="dxa"/>
            <w:vAlign w:val="center"/>
            <w:textDirection w:val="lrTb"/>
            <w:noWrap w:val="false"/>
          </w:tcPr>
          <w:p>
            <w:pPr>
              <w:pBdr/>
              <w:spacing w:line="360" w:lineRule="auto"/>
              <w:ind/>
              <w:jc w:val="center"/>
              <w:rPr>
                <w:rFonts w:hint="default" w:ascii="Times New Roman" w:hAnsi="Times New Roman" w:eastAsia="宋体" w:cs="Times New Roman"/>
                <w:b/>
                <w:bCs/>
                <w:color w:val="auto"/>
                <w:sz w:val="20"/>
                <w:szCs w:val="20"/>
              </w:rPr>
            </w:pPr>
            <w:r/>
            <w:bookmarkStart w:id="277" w:name="_Toc68"/>
            <w:r>
              <w:rPr>
                <w:rFonts w:hint="default" w:ascii="Times New Roman" w:hAnsi="Times New Roman" w:eastAsia="宋体" w:cs="Times New Roman"/>
                <w:b/>
                <w:bCs/>
                <w:color w:val="auto"/>
                <w:sz w:val="20"/>
                <w:szCs w:val="20"/>
              </w:rPr>
              <w:t xml:space="preserve">合  计</w:t>
            </w:r>
            <w:r>
              <w:rPr>
                <w:rFonts w:hint="default" w:ascii="Times New Roman" w:hAnsi="Times New Roman" w:eastAsia="宋体" w:cs="Times New Roman"/>
                <w:b/>
                <w:bCs/>
                <w:color w:val="auto"/>
                <w:sz w:val="20"/>
                <w:szCs w:val="20"/>
              </w:rPr>
            </w:r>
          </w:p>
        </w:tc>
        <w:tc>
          <w:tcPr>
            <w:tcBorders/>
            <w:tcW w:w="1783" w:type="dxa"/>
            <w:vAlign w:val="center"/>
            <w:textDirection w:val="lrTb"/>
            <w:noWrap w:val="false"/>
          </w:tcPr>
          <w:p>
            <w:pPr>
              <w:pBdr/>
              <w:spacing w:line="360" w:lineRule="auto"/>
              <w:ind/>
              <w:jc w:val="right"/>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 xml:space="preserve">18,895.48</w:t>
            </w:r>
            <w:r>
              <w:rPr>
                <w:rFonts w:hint="default" w:ascii="Times New Roman" w:hAnsi="Times New Roman" w:eastAsia="宋体" w:cs="Times New Roman"/>
                <w:b/>
                <w:bCs/>
                <w:color w:val="auto"/>
                <w:sz w:val="20"/>
                <w:szCs w:val="20"/>
              </w:rPr>
            </w:r>
          </w:p>
        </w:tc>
        <w:tc>
          <w:tcPr>
            <w:tcBorders/>
            <w:tcW w:w="1667" w:type="dxa"/>
            <w:vAlign w:val="center"/>
            <w:textDirection w:val="lrTb"/>
            <w:noWrap w:val="false"/>
          </w:tcPr>
          <w:p>
            <w:pPr>
              <w:pBdr/>
              <w:spacing w:line="360" w:lineRule="auto"/>
              <w:ind/>
              <w:jc w:val="right"/>
              <w:rPr>
                <w:rFonts w:hint="default" w:ascii="Times New Roman" w:hAnsi="Times New Roman" w:eastAsia="宋体" w:cs="Times New Roman"/>
                <w:b/>
                <w:bCs/>
                <w:color w:val="auto"/>
                <w:sz w:val="20"/>
                <w:szCs w:val="20"/>
              </w:rPr>
            </w:pPr>
            <w:r/>
            <w:bookmarkStart w:id="278" w:name="_Hlk173082816"/>
            <w:r>
              <w:rPr>
                <w:rFonts w:hint="default" w:ascii="Times New Roman" w:hAnsi="Times New Roman" w:eastAsia="宋体" w:cs="Times New Roman"/>
                <w:b/>
                <w:bCs/>
                <w:color w:val="auto"/>
                <w:sz w:val="20"/>
                <w:szCs w:val="20"/>
              </w:rPr>
              <w:t xml:space="preserve">16,340.04</w:t>
            </w:r>
            <w:bookmarkEnd w:id="278"/>
            <w:r/>
            <w:r>
              <w:rPr>
                <w:rFonts w:hint="default" w:ascii="Times New Roman" w:hAnsi="Times New Roman" w:eastAsia="宋体" w:cs="Times New Roman"/>
                <w:b/>
                <w:bCs/>
                <w:color w:val="auto"/>
                <w:sz w:val="20"/>
                <w:szCs w:val="20"/>
              </w:rPr>
            </w:r>
          </w:p>
        </w:tc>
        <w:tc>
          <w:tcPr>
            <w:tcBorders/>
            <w:tcW w:w="2352" w:type="dxa"/>
            <w:vAlign w:val="center"/>
            <w:textDirection w:val="lrTb"/>
            <w:noWrap w:val="false"/>
          </w:tcPr>
          <w:p>
            <w:pPr>
              <w:pBdr/>
              <w:spacing w:line="360" w:lineRule="auto"/>
              <w:ind/>
              <w:jc w:val="right"/>
              <w:rPr>
                <w:rFonts w:hint="default" w:ascii="Times New Roman" w:hAnsi="Times New Roman" w:eastAsia="宋体" w:cs="Times New Roman"/>
                <w:b/>
                <w:bCs/>
                <w:color w:val="auto"/>
                <w:sz w:val="20"/>
                <w:szCs w:val="20"/>
              </w:rPr>
            </w:pPr>
            <w:r>
              <w:rPr>
                <w:rFonts w:hint="default" w:ascii="Times New Roman" w:hAnsi="Times New Roman" w:eastAsia="宋体" w:cs="Times New Roman"/>
                <w:b/>
                <w:bCs/>
                <w:color w:val="auto"/>
                <w:sz w:val="20"/>
                <w:szCs w:val="20"/>
              </w:rPr>
              <w:t xml:space="preserve">-2,555.44</w:t>
            </w:r>
            <w:r>
              <w:rPr>
                <w:rFonts w:hint="default" w:ascii="Times New Roman" w:hAnsi="Times New Roman" w:eastAsia="宋体" w:cs="Times New Roman"/>
                <w:b/>
                <w:bCs/>
                <w:color w:val="auto"/>
                <w:sz w:val="20"/>
                <w:szCs w:val="20"/>
              </w:rPr>
            </w:r>
          </w:p>
        </w:tc>
      </w:tr>
    </w:tbl>
    <w:p>
      <w:pPr>
        <w:keepNext w:val="false"/>
        <w:keepLines w:val="false"/>
        <w:pageBreakBefore w:val="false"/>
        <w:widowControl w:val="false"/>
        <w:pBdr/>
        <w:spacing w:line="480" w:lineRule="exact"/>
        <w:ind w:firstLine="480" w:left="0"/>
        <w:jc w:val="both"/>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 xml:space="preserve">说明：1.</w:t>
      </w:r>
      <w:bookmarkStart w:id="279" w:name="_Hlk173082881"/>
      <w:r>
        <w:rPr>
          <w:rFonts w:hint="default" w:ascii="Times New Roman" w:hAnsi="Times New Roman" w:eastAsia="楷体_GB2312" w:cs="Times New Roman"/>
          <w:color w:val="auto"/>
          <w:sz w:val="24"/>
          <w:szCs w:val="24"/>
        </w:rPr>
        <w:t xml:space="preserve">实际支出与批准概算相比，节约额2555.44万元，节约率为 13.52%。说明事前绩效评估进行的工程造价总额正确性需要提高。即提高预算编制的科学性和正确性，进而降低各项费用合同签约总额，达到实现成本效益原则的目的。</w:t>
      </w:r>
      <w:bookmarkEnd w:id="279"/>
      <w:r>
        <w:rPr>
          <w:rFonts w:hint="default" w:ascii="Times New Roman" w:hAnsi="Times New Roman" w:eastAsia="楷体_GB2312" w:cs="Times New Roman"/>
          <w:color w:val="auto"/>
          <w:sz w:val="24"/>
          <w:szCs w:val="24"/>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2、实际支出与实际到位债券资金及利息收入合16,443.22万元相比，节约额为103.18万元，节约率为0.627%,即：（16,443.22-16,340.04）/16,443.22</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1"/>
        <w:rPr>
          <w:rFonts w:hint="default" w:ascii="楷体_GB2312" w:hAnsi="楷体_GB2312" w:eastAsia="楷体_GB2312" w:cs="楷体_GB2312"/>
          <w:b/>
          <w:bCs/>
          <w:color w:val="auto"/>
          <w:sz w:val="32"/>
          <w:szCs w:val="32"/>
        </w:rPr>
      </w:pPr>
      <w:r>
        <w:rPr>
          <w:rFonts w:hint="default" w:ascii="楷体_GB2312" w:hAnsi="楷体_GB2312" w:eastAsia="楷体_GB2312" w:cs="楷体_GB2312"/>
          <w:b/>
          <w:bCs/>
          <w:color w:val="auto"/>
          <w:sz w:val="32"/>
          <w:szCs w:val="32"/>
        </w:rPr>
        <w:t xml:space="preserve">（二）绩效评价工作开展情况</w:t>
      </w:r>
      <w:bookmarkEnd w:id="277"/>
      <w:r/>
      <w:r>
        <w:rPr>
          <w:rFonts w:hint="default" w:ascii="楷体_GB2312" w:hAnsi="楷体_GB2312" w:eastAsia="楷体_GB2312" w:cs="楷体_GB2312"/>
          <w:b/>
          <w:bCs/>
          <w:color w:val="auto"/>
          <w:sz w:val="32"/>
          <w:szCs w:val="32"/>
        </w:rPr>
      </w:r>
    </w:p>
    <w:p>
      <w:pPr>
        <w:pStyle w:val="724"/>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color w:val="auto"/>
          <w:sz w:val="32"/>
          <w:szCs w:val="32"/>
        </w:rPr>
      </w:pPr>
      <w:r/>
      <w:bookmarkStart w:id="280" w:name="_Toc20329"/>
      <w:r>
        <w:rPr>
          <w:rFonts w:hint="default" w:ascii="Times New Roman" w:hAnsi="Times New Roman" w:eastAsia="仿宋_GB2312" w:cs="Times New Roman"/>
          <w:b/>
          <w:bCs/>
          <w:color w:val="auto"/>
          <w:sz w:val="32"/>
          <w:szCs w:val="32"/>
        </w:rPr>
        <w:t xml:space="preserve">1、评价目的、对象和范围</w:t>
      </w:r>
      <w:r>
        <w:rPr>
          <w:rFonts w:hint="default" w:ascii="Times New Roman" w:hAnsi="Times New Roman" w:eastAsia="仿宋_GB2312" w:cs="Times New Roman"/>
          <w:color w:val="auto"/>
          <w:sz w:val="32"/>
          <w:szCs w:val="32"/>
        </w:rPr>
        <w:t xml:space="preserve">。</w:t>
      </w:r>
      <w:bookmarkEnd w:id="280"/>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绩效评价的目的是为了贯彻落实中央关于全面实施预算绩效管理的决策部署，加强政府一般债券项目资金管理，提高一般债券资金使用效益，有效防范政府债务风险。</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 xml:space="preserve">评价的对象和范围是</w:t>
      </w:r>
      <w:r>
        <w:rPr>
          <w:rFonts w:hint="default" w:ascii="Times New Roman" w:hAnsi="Times New Roman" w:eastAsia="仿宋_GB2312" w:cs="Times New Roman"/>
          <w:color w:val="auto"/>
          <w:sz w:val="32"/>
          <w:szCs w:val="32"/>
          <w:lang w:val="zh-CN"/>
        </w:rPr>
        <w:t xml:space="preserve">2023年鄂北水资源配置二期</w:t>
      </w:r>
      <w:r>
        <w:rPr>
          <w:rFonts w:hint="default" w:ascii="Times New Roman" w:hAnsi="Times New Roman" w:eastAsia="仿宋_GB2312" w:cs="Times New Roman"/>
          <w:color w:val="auto"/>
          <w:sz w:val="32"/>
          <w:szCs w:val="32"/>
        </w:rPr>
        <w:t xml:space="preserve">随州市先觉庙分水口配套工程</w:t>
      </w:r>
      <w:r>
        <w:rPr>
          <w:rFonts w:hint="default" w:ascii="Times New Roman" w:hAnsi="Times New Roman" w:eastAsia="仿宋_GB2312" w:cs="Times New Roman"/>
          <w:color w:val="auto"/>
          <w:sz w:val="32"/>
          <w:szCs w:val="32"/>
          <w:lang w:val="zh-CN"/>
        </w:rPr>
        <w:t xml:space="preserve">一般债券项目</w:t>
      </w:r>
      <w:r>
        <w:rPr>
          <w:rFonts w:hint="default" w:ascii="Times New Roman" w:hAnsi="Times New Roman" w:eastAsia="仿宋_GB2312" w:cs="Times New Roman"/>
          <w:color w:val="auto"/>
          <w:sz w:val="32"/>
          <w:szCs w:val="32"/>
        </w:rPr>
        <w:t xml:space="preserve">资金</w:t>
      </w:r>
      <w:r>
        <w:rPr>
          <w:rFonts w:hint="default" w:ascii="Times New Roman" w:hAnsi="Times New Roman" w:eastAsia="仿宋_GB2312" w:cs="Times New Roman"/>
          <w:color w:val="auto"/>
          <w:sz w:val="32"/>
          <w:szCs w:val="32"/>
          <w:lang w:val="zh-CN"/>
        </w:rPr>
        <w:t xml:space="preserve">使用情况</w:t>
      </w:r>
      <w:r>
        <w:rPr>
          <w:rFonts w:hint="default" w:ascii="Times New Roman" w:hAnsi="Times New Roman" w:eastAsia="仿宋_GB2312" w:cs="Times New Roman"/>
          <w:color w:val="auto"/>
          <w:sz w:val="32"/>
          <w:szCs w:val="32"/>
        </w:rPr>
        <w:t xml:space="preserve">。</w:t>
      </w:r>
      <w:r>
        <w:rPr>
          <w:rFonts w:hint="default" w:ascii="Times New Roman" w:hAnsi="Times New Roman" w:eastAsia="仿宋_GB2312" w:cs="Times New Roman"/>
          <w:color w:val="auto"/>
          <w:sz w:val="32"/>
          <w:szCs w:val="32"/>
          <w:highlight w:val="yellow"/>
        </w:rPr>
      </w:r>
    </w:p>
    <w:p>
      <w:pPr>
        <w:pStyle w:val="722"/>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color w:val="auto"/>
          <w:sz w:val="32"/>
          <w:szCs w:val="32"/>
        </w:rPr>
      </w:pPr>
      <w:r/>
      <w:bookmarkStart w:id="281" w:name="_Toc9447"/>
      <w:r>
        <w:rPr>
          <w:rFonts w:hint="default" w:ascii="Times New Roman" w:hAnsi="Times New Roman" w:eastAsia="仿宋_GB2312" w:cs="Times New Roman"/>
          <w:b/>
          <w:bCs/>
          <w:color w:val="auto"/>
          <w:sz w:val="32"/>
          <w:szCs w:val="32"/>
          <w:lang w:val="en-US" w:eastAsia="zh-CN" w:bidi="ar-SA"/>
        </w:rPr>
        <w:t xml:space="preserve">2、评价抽样情况、评价方法、时间安排等</w:t>
      </w:r>
      <w:r>
        <w:rPr>
          <w:rFonts w:hint="default" w:ascii="Times New Roman" w:hAnsi="Times New Roman" w:eastAsia="仿宋_GB2312" w:cs="Times New Roman"/>
          <w:color w:val="auto"/>
          <w:sz w:val="32"/>
          <w:szCs w:val="32"/>
        </w:rPr>
        <w:t xml:space="preserve">。</w:t>
      </w:r>
      <w:bookmarkEnd w:id="281"/>
      <w:r/>
      <w:r>
        <w:rPr>
          <w:rFonts w:hint="default" w:ascii="Times New Roman" w:hAnsi="Times New Roman" w:eastAsia="仿宋_GB2312" w:cs="Times New Roman"/>
          <w:color w:val="auto"/>
          <w:sz w:val="32"/>
          <w:szCs w:val="32"/>
        </w:rPr>
      </w:r>
    </w:p>
    <w:p>
      <w:pPr>
        <w:pStyle w:val="722"/>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（1）评价抽样情况</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本次评价采用抽取全部样本评价方法。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（2）评价方法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按照《省人民政府关于推进预算绩效管理的意见》</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鄂政发</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2013</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9号</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、湖北省财政厅项目资金绩效评价操作指南（鄂财函</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2014</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376号和中注协发布《会计师事务所财政支出绩效评价业务指引》等文件的要求，通常的项目支出绩效评价方法有以下几种方法: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①比较法：指通过对绩效目标与实施效果、历史与当期情况不同部门和地区同类支出的比较，综合分析绩效目标的实现程度的一种评价方法。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②成本效益分析法：指将一定时期内的支出与效益进行对比分析、评价绩效目标实现程度的一种评价方法。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③因素分析法：是一种通过综合分析影响绩效目标实现、实施效果的内外因素、评价绩效目标实现程度的评价方法。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④最低成本法：是一种指对效益确定却不易计量的多个同类对象的实施成本进行比较，评价绩效目标实现程度的评价方法。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⑤专家（公众）评议法：指通过专家评价、公众问卷及抽样调查等对财政支出效果进行评判，评价绩效目标实现程度的一种评价方法。</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本次对“</w:t>
      </w:r>
      <w:r>
        <w:rPr>
          <w:rFonts w:hint="default" w:ascii="Times New Roman" w:hAnsi="Times New Roman" w:eastAsia="仿宋_GB2312" w:cs="Times New Roman"/>
          <w:color w:val="auto"/>
          <w:sz w:val="32"/>
          <w:szCs w:val="32"/>
          <w:lang w:val="zh-CN"/>
        </w:rPr>
        <w:t xml:space="preserve">2023年鄂北水资源配置二期</w:t>
      </w:r>
      <w:r>
        <w:rPr>
          <w:rFonts w:hint="default" w:ascii="Times New Roman" w:hAnsi="Times New Roman" w:eastAsia="仿宋_GB2312" w:cs="Times New Roman"/>
          <w:color w:val="auto"/>
          <w:sz w:val="32"/>
          <w:szCs w:val="32"/>
        </w:rPr>
        <w:t xml:space="preserve">随州市先觉庙分水口配套工程一般</w:t>
      </w:r>
      <w:r>
        <w:rPr>
          <w:rFonts w:hint="default" w:ascii="Times New Roman" w:hAnsi="Times New Roman" w:eastAsia="仿宋_GB2312" w:cs="Times New Roman"/>
          <w:color w:val="auto"/>
          <w:sz w:val="32"/>
          <w:szCs w:val="32"/>
          <w:lang w:val="zh-CN"/>
        </w:rPr>
        <w:t xml:space="preserve">债券项目</w:t>
      </w:r>
      <w:r>
        <w:rPr>
          <w:rFonts w:hint="default" w:ascii="Times New Roman" w:hAnsi="Times New Roman" w:eastAsia="仿宋_GB2312" w:cs="Times New Roman"/>
          <w:color w:val="auto"/>
          <w:sz w:val="32"/>
          <w:szCs w:val="32"/>
        </w:rPr>
        <w:t xml:space="preserve">”进行绩效评价选择的评价方法有：比较法、成本效益分析法和专家（公众）评议法。</w:t>
      </w:r>
      <w:r>
        <w:rPr>
          <w:rFonts w:hint="default" w:ascii="Times New Roman" w:hAnsi="Times New Roman" w:eastAsia="仿宋_GB2312" w:cs="Times New Roman"/>
          <w:color w:val="auto"/>
          <w:sz w:val="32"/>
          <w:szCs w:val="32"/>
        </w:rPr>
      </w:r>
    </w:p>
    <w:p>
      <w:pPr>
        <w:keepNext w:val="false"/>
        <w:keepLines w:val="false"/>
        <w:pageBreakBefore w:val="false"/>
        <w:widowControl w:val="false"/>
        <w:numPr>
          <w:ilvl w:val="0"/>
          <w:numId w:val="4"/>
        </w:numPr>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时间安排</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（1）评价基准日：2023年</w:t>
      </w:r>
      <w:r>
        <w:rPr>
          <w:rFonts w:hint="default" w:ascii="Times New Roman" w:hAnsi="Times New Roman" w:eastAsia="仿宋_GB2312" w:cs="Times New Roman"/>
          <w:color w:val="auto"/>
          <w:sz w:val="32"/>
          <w:szCs w:val="32"/>
          <w:highlight w:val="none"/>
        </w:rPr>
        <w:t xml:space="preserve">12月31日</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（2）本次评价时间：2023年7月6日至2023年7月16日。</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1"/>
        <w:rPr>
          <w:rFonts w:hint="eastAsia" w:ascii="楷体_GB2312" w:hAnsi="楷体_GB2312" w:eastAsia="楷体_GB2312" w:cs="楷体_GB2312"/>
          <w:b/>
          <w:bCs/>
          <w:color w:val="auto"/>
          <w:sz w:val="32"/>
          <w:szCs w:val="32"/>
        </w:rPr>
      </w:pPr>
      <w:r/>
      <w:bookmarkStart w:id="282" w:name="_Toc13018"/>
      <w:r>
        <w:rPr>
          <w:rFonts w:hint="eastAsia" w:ascii="楷体_GB2312" w:hAnsi="楷体_GB2312" w:eastAsia="楷体_GB2312" w:cs="楷体_GB2312"/>
          <w:b/>
          <w:bCs/>
          <w:color w:val="auto"/>
          <w:sz w:val="32"/>
          <w:szCs w:val="32"/>
        </w:rPr>
        <w:t xml:space="preserve">（三）绩效评价指标完成情况分析</w:t>
      </w:r>
      <w:bookmarkEnd w:id="282"/>
      <w:r/>
      <w:r>
        <w:rPr>
          <w:rFonts w:hint="eastAsia" w:ascii="楷体_GB2312" w:hAnsi="楷体_GB2312" w:eastAsia="楷体_GB2312" w:cs="楷体_GB2312"/>
          <w:b/>
          <w:bCs/>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283" w:name="_Toc6189"/>
      <w:r/>
      <w:bookmarkStart w:id="284" w:name="_Toc26385"/>
      <w:r/>
      <w:bookmarkStart w:id="285" w:name="_Toc14610243"/>
      <w:r>
        <w:rPr>
          <w:rFonts w:hint="default" w:ascii="Times New Roman" w:hAnsi="Times New Roman" w:eastAsia="仿宋_GB2312" w:cs="Times New Roman"/>
          <w:b/>
          <w:bCs/>
          <w:color w:val="auto"/>
          <w:sz w:val="32"/>
          <w:szCs w:val="32"/>
        </w:rPr>
        <w:t xml:space="preserve">1、决策（15分）</w:t>
      </w:r>
      <w:bookmarkEnd w:id="283"/>
      <w:r/>
      <w:bookmarkEnd w:id="284"/>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rPr>
        <w:t xml:space="preserve">决策指标主要评价项目立项、绩效目标和资金投入的实际情况。对于该项的评价，评价小组采用卷宗研究及现场访谈的方式，对资料进行收集、整理和分析，查看了项目立项及单位项目自评报告等资料，了解项目立项过程、项目资金来源，对项目投入涉及的指标进行打分，并逐级加权计算结果。经过综合计分，该指标得分为9.5分。</w:t>
      </w:r>
      <w:r>
        <w:rPr>
          <w:rFonts w:hint="default" w:ascii="Times New Roman" w:hAnsi="Times New Roman" w:eastAsia="仿宋_GB2312" w:cs="Times New Roman"/>
          <w:color w:val="auto"/>
          <w:sz w:val="32"/>
          <w:szCs w:val="32"/>
          <w:highlight w:val="yellow"/>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286" w:name="_Toc19295"/>
      <w:r/>
      <w:bookmarkStart w:id="287" w:name="_Toc1943"/>
      <w:r>
        <w:rPr>
          <w:rFonts w:hint="default" w:ascii="Times New Roman" w:hAnsi="Times New Roman" w:eastAsia="仿宋_GB2312" w:cs="Times New Roman"/>
          <w:color w:val="auto"/>
          <w:sz w:val="32"/>
          <w:szCs w:val="32"/>
        </w:rPr>
        <w:t xml:space="preserve">（1）项目立项（5分）</w:t>
      </w:r>
      <w:bookmarkEnd w:id="286"/>
      <w:r/>
      <w:bookmarkEnd w:id="287"/>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①立项依据充分性（2分），评价小组通过查看资料及现场访谈，该项目是公益性项目，立项符合符合法律法规、相关政策、行业发展规划以及部门职责，属于政府投资项目，符合一般债券支持领域和方向。得2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②立项程序规范性（3分），评价小组通过查看资料及现场访谈，了解到项目单位立项未按程序报批项目建议书、可行性研究报告、初步设计，2020年1月21日，随州市发展和改革委员会对该项目实施方案进行批复（随发改审批服务</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2020</w:t>
      </w:r>
      <w:r>
        <w:rPr>
          <w:rFonts w:hint="default"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6号。扣2分，得1分。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288" w:name="_Toc20404"/>
      <w:r/>
      <w:bookmarkStart w:id="289" w:name="_Toc5689"/>
      <w:r>
        <w:rPr>
          <w:rFonts w:hint="default" w:ascii="Times New Roman" w:hAnsi="Times New Roman" w:eastAsia="仿宋_GB2312" w:cs="Times New Roman"/>
          <w:color w:val="auto"/>
          <w:sz w:val="32"/>
          <w:szCs w:val="32"/>
        </w:rPr>
        <w:t xml:space="preserve">（2）绩效目标（5分）</w:t>
      </w:r>
      <w:bookmarkEnd w:id="288"/>
      <w:r/>
      <w:bookmarkEnd w:id="289"/>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①绩效目标合理性（2分），评价小组通过查看了自评报告中的绩效目标，了解到项目单位设定了绩效目标，但不完整，绩效目标的设定与实际工作内容相关，项目预期产出效益和效果符合正常的业绩水平，与预算确定的项目投资额或资金量相匹配，扣1分，得1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②绩效指标明确性（3分），评价小组通过查看自评报告中绩效目标，了解到项目单位项目绩效目标产出数量指标细化分解为具体的绩效指标，但不完整，没有将工程项目输水管线管径、长度列示具体数量，也没设置成本指本。即：没有通过清晰、可衡量的指标值予以体现，不能定量设置的，才能定性描述；扣2分，得1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290" w:name="_Toc11581"/>
      <w:r/>
      <w:bookmarkStart w:id="291" w:name="_Toc7819"/>
      <w:r>
        <w:rPr>
          <w:rFonts w:hint="default" w:ascii="Times New Roman" w:hAnsi="Times New Roman" w:eastAsia="仿宋_GB2312" w:cs="Times New Roman"/>
          <w:color w:val="auto"/>
          <w:sz w:val="32"/>
          <w:szCs w:val="32"/>
        </w:rPr>
        <w:t xml:space="preserve">（3）资金投入（5分）</w:t>
      </w:r>
      <w:bookmarkEnd w:id="290"/>
      <w:r/>
      <w:bookmarkEnd w:id="291"/>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①预算编制科学性（2分），评价小组通过查看相关资料，了解到该项目预算编制经过科学论证、预算内容与项目内容相匹配，预算额度测算依据充分，按照标准编制，预算确定的项目投资额与工作任务的相匹配，因实际支出与批准概算相比，节约额2555.44万元，节约率为 13.52%，基本预备费预算777.66，但实际没有发生，说明预算编制的科学性和正确性有待提高。扣0.5分，得1.5分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②资金分配合理性（3分），评价小组通过查看相关资料，项目预算资金分配依据充分，资金分配额度合理，与实际相适应，得3分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292" w:name="_Toc21793"/>
      <w:r/>
      <w:bookmarkStart w:id="293" w:name="_Toc26894"/>
      <w:r/>
      <w:bookmarkStart w:id="294" w:name="_Toc10219"/>
      <w:r/>
      <w:bookmarkStart w:id="295" w:name="_Toc24868"/>
      <w:r/>
      <w:bookmarkStart w:id="296" w:name="_Toc430018236"/>
      <w:r/>
      <w:bookmarkStart w:id="297" w:name="_Toc430020671"/>
      <w:r/>
      <w:bookmarkStart w:id="298" w:name="_Toc15873"/>
      <w:r/>
      <w:bookmarkStart w:id="299" w:name="_Toc8897"/>
      <w:r/>
      <w:bookmarkStart w:id="300" w:name="_Toc430020795"/>
      <w:r/>
      <w:bookmarkStart w:id="301" w:name="_Toc430076904"/>
      <w:r/>
      <w:bookmarkStart w:id="302" w:name="_Toc12369"/>
      <w:r/>
      <w:bookmarkStart w:id="303" w:name="_Toc430098943"/>
      <w:r/>
      <w:bookmarkStart w:id="304" w:name="_Toc430020519"/>
      <w:r/>
      <w:bookmarkStart w:id="305" w:name="_Toc6706"/>
      <w:r/>
      <w:bookmarkStart w:id="306" w:name="_Toc18531"/>
      <w:r>
        <w:rPr>
          <w:rFonts w:hint="default" w:ascii="Times New Roman" w:hAnsi="Times New Roman" w:eastAsia="仿宋_GB2312" w:cs="Times New Roman"/>
          <w:b/>
          <w:bCs/>
          <w:color w:val="auto"/>
          <w:sz w:val="32"/>
          <w:szCs w:val="32"/>
        </w:rPr>
        <w:t xml:space="preserve">2、过程</w:t>
      </w:r>
      <w:bookmarkEnd w:id="292"/>
      <w:r/>
      <w:bookmarkEnd w:id="293"/>
      <w:r/>
      <w:bookmarkEnd w:id="294"/>
      <w:r/>
      <w:bookmarkEnd w:id="295"/>
      <w:r/>
      <w:bookmarkEnd w:id="296"/>
      <w:r/>
      <w:bookmarkEnd w:id="297"/>
      <w:r/>
      <w:bookmarkEnd w:id="298"/>
      <w:r/>
      <w:bookmarkEnd w:id="299"/>
      <w:r/>
      <w:bookmarkEnd w:id="300"/>
      <w:r/>
      <w:bookmarkEnd w:id="301"/>
      <w:r/>
      <w:bookmarkEnd w:id="302"/>
      <w:r/>
      <w:bookmarkEnd w:id="303"/>
      <w:r/>
      <w:bookmarkEnd w:id="304"/>
      <w:r>
        <w:rPr>
          <w:rFonts w:hint="default" w:ascii="Times New Roman" w:hAnsi="Times New Roman" w:eastAsia="仿宋_GB2312" w:cs="Times New Roman"/>
          <w:b/>
          <w:bCs/>
          <w:color w:val="auto"/>
          <w:sz w:val="32"/>
          <w:szCs w:val="32"/>
        </w:rPr>
        <w:t xml:space="preserve">（25分）</w:t>
      </w:r>
      <w:bookmarkEnd w:id="305"/>
      <w:r/>
      <w:bookmarkEnd w:id="306"/>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过程指标主要从资金管理、组织实施2个方面来具体评价；主要考核资金到位率、预算执行率、资金使用合规性、管理制度健全性和制度执行有效性。对于该项的评价，评价小组主要进行资料收集、整理、核实和分析，收集了鄂北水资源配置二期随州市先觉庙分水口配套工程一般债券建祋项目预算计划等相关文件；了解项目实施单位采取的项目实施方式和项目工作内容及要求。对项目过程涉及的指标进行打分，并逐级加权计算结果。经过综合计分，该指标得分为21.25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07" w:name="_Toc3348"/>
      <w:r/>
      <w:bookmarkStart w:id="308" w:name="_Toc18977"/>
      <w:r>
        <w:rPr>
          <w:rFonts w:hint="default" w:ascii="Times New Roman" w:hAnsi="Times New Roman" w:eastAsia="仿宋_GB2312" w:cs="Times New Roman"/>
          <w:color w:val="auto"/>
          <w:sz w:val="32"/>
          <w:szCs w:val="32"/>
        </w:rPr>
        <w:t xml:space="preserve">（1）资金管理（15分）</w:t>
      </w:r>
      <w:bookmarkEnd w:id="307"/>
      <w:r/>
      <w:bookmarkEnd w:id="308"/>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①资金到位率（5分），项目实施单位预算一般债券资金16,200万元，于2024年2月29日收到债券资金16,200万元；资金到位率100%，得5分。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②预算执行率（5分），是指项目实际支出资金占实际到位资金的比例，项目单位实际支出债券资金16,200万元，实际到位资金预算执行率100%。得5分。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③资金使用合规性（5分），债券资金的使用符合国家财经法规和财务管理制度，资金的拨付有完整的审批程序和手续，符合一般债券投向的规定，但随州市审计局审计存在虚列支出情况，扣1.25分，得3.75分。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09" w:name="_Toc12294"/>
      <w:r/>
      <w:bookmarkStart w:id="310" w:name="_Toc26588"/>
      <w:r>
        <w:rPr>
          <w:rFonts w:hint="default" w:ascii="Times New Roman" w:hAnsi="Times New Roman" w:eastAsia="仿宋_GB2312" w:cs="Times New Roman"/>
          <w:color w:val="auto"/>
          <w:sz w:val="32"/>
          <w:szCs w:val="32"/>
        </w:rPr>
        <w:t xml:space="preserve">（2）组织实施（10分）</w:t>
      </w:r>
      <w:bookmarkEnd w:id="309"/>
      <w:r/>
      <w:bookmarkEnd w:id="310"/>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①管理制度健全性（5分），鄂北水资源配置二期随州市直工程项目建设办公室制定有健全的财务管理制度和业务管理制度，并有相应业务办理流程，项目的管理制度遵守相关规定和按照相关文件要求执行，得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②制度执行有效性（5分），鄂北水资源配置二期随州市直工程项目建设办公室严格遵守相关法律法规、财务管理制度和项目管理规定，财务支出手续完备，但因存在虚列支出，没有及时办理竣工验收手续，资金到位不及时，资金拨付和支出进度没有按计划进行，影响制度执行的有效性，扣2.5分，得2.5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311" w:name="_Toc23336"/>
      <w:r/>
      <w:bookmarkStart w:id="312" w:name="_Toc16937"/>
      <w:r>
        <w:rPr>
          <w:rFonts w:hint="default" w:ascii="Times New Roman" w:hAnsi="Times New Roman" w:eastAsia="仿宋_GB2312" w:cs="Times New Roman"/>
          <w:b/>
          <w:bCs/>
          <w:color w:val="auto"/>
          <w:sz w:val="32"/>
          <w:szCs w:val="32"/>
        </w:rPr>
        <w:t xml:space="preserve">3、产出（30分）</w:t>
      </w:r>
      <w:bookmarkEnd w:id="311"/>
      <w:r/>
      <w:bookmarkEnd w:id="312"/>
      <w:r/>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产出指标主要从产出数量、产出质量、产出时效、成本节约率四个方面具体评价，了解项目的具体实施情况及成果，对项目产出目标与年初绩效目标对比，根据完成情况进行打分和评价。经过综合计分，该指标得分为26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13" w:name="_Toc28859"/>
      <w:r/>
      <w:bookmarkStart w:id="314" w:name="_Toc23690"/>
      <w:r>
        <w:rPr>
          <w:rFonts w:hint="default" w:ascii="Times New Roman" w:hAnsi="Times New Roman" w:eastAsia="仿宋_GB2312" w:cs="Times New Roman"/>
          <w:color w:val="auto"/>
          <w:sz w:val="32"/>
          <w:szCs w:val="32"/>
        </w:rPr>
        <w:t xml:space="preserve">（1）产出数量（10分）</w:t>
      </w:r>
      <w:bookmarkEnd w:id="313"/>
      <w:r/>
      <w:bookmarkEnd w:id="314"/>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①实际完成率（10分），</w:t>
      </w:r>
      <w:r>
        <w:rPr>
          <w:rFonts w:hint="default" w:ascii="Times New Roman" w:hAnsi="Times New Roman" w:eastAsia="仿宋_GB2312" w:cs="Times New Roman"/>
          <w:color w:val="auto"/>
          <w:sz w:val="32"/>
          <w:szCs w:val="32"/>
          <w:lang w:val="zh-CN"/>
        </w:rPr>
        <w:t xml:space="preserve">鄂北水资源配置二期随州市先觉庙分水口配套工程建设项目</w:t>
      </w:r>
      <w:r>
        <w:rPr>
          <w:rFonts w:hint="default" w:ascii="Times New Roman" w:hAnsi="Times New Roman" w:eastAsia="仿宋_GB2312" w:cs="Times New Roman"/>
          <w:color w:val="auto"/>
          <w:sz w:val="32"/>
          <w:szCs w:val="32"/>
        </w:rPr>
        <w:t xml:space="preserve">目标任务与实际完成情况见下表：</w:t>
      </w:r>
      <w:r>
        <w:rPr>
          <w:rFonts w:hint="default" w:ascii="Times New Roman" w:hAnsi="Times New Roman" w:eastAsia="仿宋_GB2312" w:cs="Times New Roman"/>
          <w:color w:val="auto"/>
          <w:sz w:val="32"/>
          <w:szCs w:val="32"/>
        </w:rPr>
      </w:r>
    </w:p>
    <w:tbl>
      <w:tblPr>
        <w:tblStyle w:val="723"/>
        <w:tblW w:w="841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left w:w="108" w:type="dxa"/>
          <w:top w:w="0" w:type="dxa"/>
          <w:right w:w="108" w:type="dxa"/>
          <w:bottom w:w="0" w:type="dxa"/>
        </w:tblCellMar>
        <w:tblLook w:val="04A0" w:firstRow="1" w:lastRow="0" w:firstColumn="1" w:lastColumn="0" w:noHBand="0" w:noVBand="1"/>
      </w:tblPr>
      <w:tblGrid>
        <w:gridCol w:w="2410"/>
        <w:gridCol w:w="3969"/>
        <w:gridCol w:w="2035"/>
      </w:tblGrid>
      <w:tr>
        <w:trPr>
          <w:trHeight w:val="687"/>
        </w:trPr>
        <w:tc>
          <w:tcPr>
            <w:tcBorders/>
            <w:tcW w:w="2410" w:type="dxa"/>
            <w:vAlign w:val="center"/>
            <w:textDirection w:val="lrTb"/>
            <w:noWrap w:val="false"/>
          </w:tcPr>
          <w:p>
            <w:pPr>
              <w:keepNext w:val="false"/>
              <w:keepLines w:val="false"/>
              <w:pageBreakBefore w:val="false"/>
              <w:widowControl w:val="true"/>
              <w:pBdr/>
              <w:spacing w:line="360" w:lineRule="exact"/>
              <w:ind w:firstLine="0"/>
              <w:jc w:val="center"/>
              <w:rPr>
                <w:rFonts w:hint="default" w:ascii="Times New Roman" w:hAnsi="Times New Roman" w:eastAsia="宋体" w:cs="Times New Roman"/>
                <w:color w:val="auto"/>
                <w:sz w:val="24"/>
                <w:szCs w:val="24"/>
              </w:rPr>
            </w:pPr>
            <w:r/>
            <w:bookmarkStart w:id="315" w:name="_Toc21509"/>
            <w:r>
              <w:rPr>
                <w:rFonts w:hint="default" w:ascii="Times New Roman" w:hAnsi="Times New Roman" w:eastAsia="宋体" w:cs="Times New Roman"/>
                <w:color w:val="auto"/>
                <w:sz w:val="24"/>
                <w:szCs w:val="24"/>
              </w:rPr>
              <w:t xml:space="preserve">产出指标</w:t>
            </w:r>
            <w:r>
              <w:rPr>
                <w:rFonts w:hint="default" w:ascii="Times New Roman" w:hAnsi="Times New Roman" w:eastAsia="宋体" w:cs="Times New Roman"/>
                <w:color w:val="auto"/>
                <w:sz w:val="24"/>
                <w:szCs w:val="24"/>
              </w:rPr>
            </w:r>
          </w:p>
        </w:tc>
        <w:tc>
          <w:tcPr>
            <w:tcBorders/>
            <w:tcW w:w="3969" w:type="dxa"/>
            <w:vAlign w:val="center"/>
            <w:textDirection w:val="lrTb"/>
            <w:noWrap w:val="false"/>
          </w:tcPr>
          <w:p>
            <w:pPr>
              <w:keepNext w:val="false"/>
              <w:keepLines w:val="false"/>
              <w:pageBreakBefore w:val="false"/>
              <w:widowControl w:val="true"/>
              <w:pBdr/>
              <w:spacing w:line="360" w:lineRule="exact"/>
              <w:ind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应设置产出指标任务</w:t>
            </w:r>
            <w:r>
              <w:rPr>
                <w:rFonts w:hint="default" w:ascii="Times New Roman" w:hAnsi="Times New Roman" w:eastAsia="宋体" w:cs="Times New Roman"/>
                <w:color w:val="auto"/>
                <w:sz w:val="24"/>
                <w:szCs w:val="24"/>
              </w:rPr>
            </w:r>
          </w:p>
        </w:tc>
        <w:tc>
          <w:tcPr>
            <w:tcBorders/>
            <w:tcW w:w="2035" w:type="dxa"/>
            <w:vAlign w:val="center"/>
            <w:textDirection w:val="lrTb"/>
            <w:noWrap w:val="false"/>
          </w:tcPr>
          <w:p>
            <w:pPr>
              <w:keepNext w:val="false"/>
              <w:keepLines w:val="false"/>
              <w:pageBreakBefore w:val="false"/>
              <w:pBdr/>
              <w:spacing w:line="360" w:lineRule="exact"/>
              <w:ind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实际完成情况</w:t>
            </w:r>
            <w:r>
              <w:rPr>
                <w:rFonts w:hint="default" w:ascii="Times New Roman" w:hAnsi="Times New Roman" w:eastAsia="宋体" w:cs="Times New Roman"/>
                <w:color w:val="auto"/>
                <w:sz w:val="24"/>
                <w:szCs w:val="24"/>
              </w:rPr>
            </w:r>
          </w:p>
        </w:tc>
      </w:tr>
      <w:tr>
        <w:trPr>
          <w:trHeight w:val="1151"/>
        </w:trPr>
        <w:tc>
          <w:tcPr>
            <w:tcBorders/>
            <w:tcW w:w="2410" w:type="dxa"/>
            <w:vAlign w:val="center"/>
            <w:textDirection w:val="lrTb"/>
            <w:noWrap w:val="false"/>
          </w:tcPr>
          <w:p>
            <w:pPr>
              <w:keepNext w:val="false"/>
              <w:keepLines w:val="false"/>
              <w:pageBreakBefore w:val="false"/>
              <w:pBdr/>
              <w:spacing w:line="360" w:lineRule="exact"/>
              <w:ind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日供水量20万吨</w:t>
            </w:r>
            <w:r>
              <w:rPr>
                <w:rFonts w:hint="default" w:ascii="Times New Roman" w:hAnsi="Times New Roman" w:eastAsia="宋体" w:cs="Times New Roman"/>
                <w:color w:val="auto"/>
                <w:sz w:val="24"/>
                <w:szCs w:val="24"/>
              </w:rPr>
            </w:r>
          </w:p>
        </w:tc>
        <w:tc>
          <w:tcPr>
            <w:tcBorders/>
            <w:tcW w:w="3969" w:type="dxa"/>
            <w:vAlign w:val="center"/>
            <w:textDirection w:val="lrTb"/>
            <w:noWrap w:val="false"/>
          </w:tcPr>
          <w:p>
            <w:pPr>
              <w:keepNext w:val="false"/>
              <w:keepLines w:val="false"/>
              <w:pageBreakBefore w:val="false"/>
              <w:pBdr/>
              <w:spacing w:line="360" w:lineRule="exact"/>
              <w:ind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输水管线单排布置，管径1.6m,</w:t>
            </w:r>
            <w:r>
              <w:rPr>
                <w:rFonts w:hint="default" w:ascii="Times New Roman" w:hAnsi="Times New Roman" w:eastAsia="宋体" w:cs="Times New Roman"/>
                <w:color w:val="auto"/>
                <w:sz w:val="24"/>
                <w:szCs w:val="24"/>
              </w:rPr>
            </w:r>
          </w:p>
          <w:p>
            <w:pPr>
              <w:keepNext w:val="false"/>
              <w:keepLines w:val="false"/>
              <w:pageBreakBefore w:val="false"/>
              <w:pBdr/>
              <w:spacing w:line="360" w:lineRule="exact"/>
              <w:ind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总长15.3km,日供水量20万吨。</w:t>
            </w:r>
            <w:r>
              <w:rPr>
                <w:rFonts w:hint="default" w:ascii="Times New Roman" w:hAnsi="Times New Roman" w:eastAsia="宋体" w:cs="Times New Roman"/>
                <w:color w:val="auto"/>
                <w:sz w:val="24"/>
                <w:szCs w:val="24"/>
              </w:rPr>
            </w:r>
          </w:p>
        </w:tc>
        <w:tc>
          <w:tcPr>
            <w:tcBorders/>
            <w:tcW w:w="2035" w:type="dxa"/>
            <w:vAlign w:val="center"/>
            <w:textDirection w:val="lrTb"/>
            <w:noWrap w:val="false"/>
          </w:tcPr>
          <w:p>
            <w:pPr>
              <w:keepNext w:val="false"/>
              <w:keepLines w:val="false"/>
              <w:pageBreakBefore w:val="false"/>
              <w:pBdr/>
              <w:spacing w:line="360" w:lineRule="exact"/>
              <w:ind w:firstLine="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完成</w:t>
            </w:r>
            <w:r>
              <w:rPr>
                <w:rFonts w:hint="default" w:ascii="Times New Roman" w:hAnsi="Times New Roman" w:eastAsia="宋体" w:cs="Times New Roman"/>
                <w:color w:val="auto"/>
                <w:sz w:val="24"/>
                <w:szCs w:val="24"/>
              </w:rPr>
            </w:r>
          </w:p>
        </w:tc>
      </w:tr>
    </w:tbl>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16" w:name="_Toc29135"/>
      <w:r>
        <w:rPr>
          <w:rFonts w:hint="default" w:ascii="Times New Roman" w:hAnsi="Times New Roman" w:eastAsia="仿宋_GB2312" w:cs="Times New Roman"/>
          <w:color w:val="auto"/>
          <w:sz w:val="32"/>
          <w:szCs w:val="32"/>
        </w:rPr>
        <w:t xml:space="preserve">从上表可以看出，实际完成产出数量目标任务，但因仅设置一项日供水量产出指标，扣2分，得8分。</w:t>
      </w:r>
      <w:bookmarkEnd w:id="316"/>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17" w:name="_Toc21417"/>
      <w:r>
        <w:rPr>
          <w:rFonts w:hint="default" w:ascii="Times New Roman" w:hAnsi="Times New Roman" w:eastAsia="仿宋_GB2312" w:cs="Times New Roman"/>
          <w:color w:val="auto"/>
          <w:sz w:val="32"/>
          <w:szCs w:val="32"/>
        </w:rPr>
        <w:t xml:space="preserve">（2）产出质量（10分）</w:t>
      </w:r>
      <w:bookmarkEnd w:id="315"/>
      <w:r/>
      <w:bookmarkEnd w:id="317"/>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18" w:name="_Toc8807"/>
      <w:r>
        <w:rPr>
          <w:rFonts w:hint="default" w:ascii="Times New Roman" w:hAnsi="Times New Roman" w:eastAsia="仿宋_GB2312" w:cs="Times New Roman"/>
          <w:color w:val="auto"/>
          <w:sz w:val="32"/>
          <w:szCs w:val="32"/>
          <w:lang w:val="zh-CN"/>
        </w:rPr>
        <w:t xml:space="preserve">鄂北水资源配置二期随州市先觉庙分水口配套工程建设项目</w:t>
      </w:r>
      <w:r>
        <w:rPr>
          <w:rFonts w:hint="default" w:ascii="Times New Roman" w:hAnsi="Times New Roman" w:eastAsia="仿宋_GB2312" w:cs="Times New Roman"/>
          <w:color w:val="auto"/>
          <w:sz w:val="32"/>
          <w:szCs w:val="32"/>
        </w:rPr>
        <w:t xml:space="preserve">有质量管控措施，有工程质量和水质合格标准，但没列出具体指标，也未见媒体曝光质量投诉情况，扣2分，得8分。</w:t>
      </w:r>
      <w:bookmarkEnd w:id="318"/>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19" w:name="_Toc23798"/>
      <w:r/>
      <w:bookmarkStart w:id="320" w:name="_Toc4701"/>
      <w:r>
        <w:rPr>
          <w:rFonts w:hint="default" w:ascii="Times New Roman" w:hAnsi="Times New Roman" w:eastAsia="仿宋_GB2312" w:cs="Times New Roman"/>
          <w:color w:val="auto"/>
          <w:sz w:val="32"/>
          <w:szCs w:val="32"/>
        </w:rPr>
        <w:t xml:space="preserve">（3）产出时效（5分）</w:t>
      </w:r>
      <w:bookmarkEnd w:id="319"/>
      <w:r/>
      <w:bookmarkEnd w:id="320"/>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 xml:space="preserve">鄂北水资源配置二期随州市先觉庙分水口配套工程建设项目，市发改委批复建设工期18个月。开工时间2020年8月28日，完工时间2021年8月25日</w:t>
      </w:r>
      <w:r>
        <w:rPr>
          <w:rFonts w:hint="default" w:ascii="Times New Roman" w:hAnsi="Times New Roman" w:eastAsia="仿宋_GB2312" w:cs="Times New Roman"/>
          <w:color w:val="auto"/>
          <w:sz w:val="32"/>
          <w:szCs w:val="32"/>
        </w:rPr>
        <w:t xml:space="preserve">，在规定时限内完成，得5分。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21" w:name="_Toc28127"/>
      <w:r>
        <w:rPr>
          <w:rFonts w:hint="default" w:ascii="Times New Roman" w:hAnsi="Times New Roman" w:eastAsia="仿宋_GB2312" w:cs="Times New Roman"/>
          <w:color w:val="auto"/>
          <w:sz w:val="32"/>
          <w:szCs w:val="32"/>
        </w:rPr>
        <w:t xml:space="preserve">（4）产出成本（5分）</w:t>
      </w:r>
      <w:bookmarkEnd w:id="321"/>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 xml:space="preserve">鄂北水资源配置二期随州市先觉庙分水口配套工程建设项目，批复概算18,895.48万元，实际支出16,340.04万元（债券资金16,200万元，</w:t>
      </w:r>
      <w:bookmarkStart w:id="343" w:name="_GoBack"/>
      <w:r/>
      <w:bookmarkEnd w:id="343"/>
      <w:r>
        <w:rPr>
          <w:rFonts w:hint="default" w:ascii="Times New Roman" w:hAnsi="Times New Roman" w:eastAsia="仿宋_GB2312" w:cs="Times New Roman"/>
          <w:color w:val="auto"/>
          <w:sz w:val="32"/>
          <w:szCs w:val="32"/>
          <w:lang w:val="zh-CN"/>
        </w:rPr>
        <w:t xml:space="preserve">银行存款利息140.04万元），</w:t>
      </w:r>
      <w:r>
        <w:rPr>
          <w:rFonts w:hint="default" w:ascii="Times New Roman" w:hAnsi="Times New Roman" w:eastAsia="仿宋_GB2312" w:cs="Times New Roman"/>
          <w:color w:val="auto"/>
          <w:sz w:val="32"/>
          <w:szCs w:val="32"/>
        </w:rPr>
        <w:t xml:space="preserve">支出控制在预算范围内，没有超支。得5分。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3" w:left="0"/>
        <w:jc w:val="both"/>
        <w:outlineLvl w:val="2"/>
        <w:rPr>
          <w:rFonts w:hint="default" w:ascii="Times New Roman" w:hAnsi="Times New Roman" w:eastAsia="仿宋_GB2312" w:cs="Times New Roman"/>
          <w:b/>
          <w:bCs/>
          <w:color w:val="auto"/>
          <w:sz w:val="32"/>
          <w:szCs w:val="32"/>
        </w:rPr>
      </w:pPr>
      <w:r/>
      <w:bookmarkStart w:id="322" w:name="_Toc430076906"/>
      <w:r/>
      <w:bookmarkStart w:id="323" w:name="_Toc20882"/>
      <w:r/>
      <w:bookmarkStart w:id="324" w:name="_Toc430020797"/>
      <w:r/>
      <w:bookmarkStart w:id="325" w:name="_Toc18194"/>
      <w:r/>
      <w:bookmarkStart w:id="326" w:name="_Toc430018238"/>
      <w:r/>
      <w:bookmarkStart w:id="327" w:name="_Toc10757"/>
      <w:r/>
      <w:bookmarkStart w:id="328" w:name="_Toc430020673"/>
      <w:r/>
      <w:bookmarkStart w:id="329" w:name="_Toc30220"/>
      <w:r/>
      <w:bookmarkStart w:id="330" w:name="_Toc430020521"/>
      <w:r/>
      <w:bookmarkStart w:id="331" w:name="_Toc25066"/>
      <w:r/>
      <w:bookmarkStart w:id="332" w:name="_Toc6801"/>
      <w:r/>
      <w:bookmarkStart w:id="333" w:name="_Toc394181022"/>
      <w:r>
        <w:rPr>
          <w:rFonts w:hint="default" w:ascii="Times New Roman" w:hAnsi="Times New Roman" w:eastAsia="仿宋_GB2312" w:cs="Times New Roman"/>
          <w:b/>
          <w:bCs/>
          <w:color w:val="auto"/>
          <w:sz w:val="32"/>
          <w:szCs w:val="32"/>
        </w:rPr>
        <w:t xml:space="preserve">4、效果</w:t>
      </w:r>
      <w:bookmarkEnd w:id="322"/>
      <w:r/>
      <w:bookmarkEnd w:id="323"/>
      <w:r/>
      <w:bookmarkEnd w:id="324"/>
      <w:r/>
      <w:bookmarkEnd w:id="325"/>
      <w:r/>
      <w:bookmarkEnd w:id="326"/>
      <w:r/>
      <w:bookmarkEnd w:id="327"/>
      <w:r/>
      <w:bookmarkEnd w:id="328"/>
      <w:r/>
      <w:bookmarkEnd w:id="329"/>
      <w:r/>
      <w:bookmarkEnd w:id="330"/>
      <w:r>
        <w:rPr>
          <w:rFonts w:hint="default" w:ascii="Times New Roman" w:hAnsi="Times New Roman" w:eastAsia="仿宋_GB2312" w:cs="Times New Roman"/>
          <w:b/>
          <w:bCs/>
          <w:color w:val="auto"/>
          <w:sz w:val="32"/>
          <w:szCs w:val="32"/>
        </w:rPr>
        <w:t xml:space="preserve">（30分）</w:t>
      </w:r>
      <w:bookmarkEnd w:id="331"/>
      <w:r/>
      <w:bookmarkEnd w:id="332"/>
      <w:r/>
      <w:bookmarkEnd w:id="333"/>
      <w:r>
        <w:rPr>
          <w:rFonts w:hint="default" w:ascii="Times New Roman" w:hAnsi="Times New Roman" w:eastAsia="仿宋_GB2312" w:cs="Times New Roman"/>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效果方面主要评价项目实施所产生的社会效益以及对社会的需求和发展所带来的直接或间接影响，反映项目后续运行及成效发挥的可持续影响情况，反映服务对象对</w:t>
      </w:r>
      <w:r>
        <w:rPr>
          <w:rFonts w:hint="default" w:ascii="Times New Roman" w:hAnsi="Times New Roman" w:eastAsia="仿宋_GB2312" w:cs="Times New Roman"/>
          <w:color w:val="auto"/>
          <w:sz w:val="32"/>
          <w:szCs w:val="32"/>
          <w:lang w:val="zh-CN"/>
        </w:rPr>
        <w:t xml:space="preserve">鄂北水资源配置二期随州市先觉庙分水口配套工程建设项目</w:t>
      </w:r>
      <w:r>
        <w:rPr>
          <w:rFonts w:hint="default" w:ascii="Times New Roman" w:hAnsi="Times New Roman" w:eastAsia="仿宋_GB2312" w:cs="Times New Roman"/>
          <w:color w:val="auto"/>
          <w:sz w:val="32"/>
          <w:szCs w:val="32"/>
        </w:rPr>
        <w:t xml:space="preserve">实施情况的满意程度。对于该项目评价，评价小组主要采取了案卷研究、现场访谈和发放调查问卷等方式进行资料收集、整理和分析，经过综合计分，该指标得分为28分。</w:t>
      </w:r>
      <w:bookmarkStart w:id="334" w:name="_Toc10425"/>
      <w:r/>
      <w:bookmarkStart w:id="335" w:name="_Toc21159"/>
      <w:r/>
      <w:bookmarkEnd w:id="334"/>
      <w:r>
        <w:rPr>
          <w:rFonts w:hint="default" w:ascii="Times New Roman" w:hAnsi="Times New Roman" w:eastAsia="仿宋_GB2312" w:cs="Times New Roman"/>
          <w:color w:val="auto"/>
          <w:sz w:val="32"/>
          <w:szCs w:val="32"/>
        </w:rPr>
      </w:r>
    </w:p>
    <w:p>
      <w:pPr>
        <w:pStyle w:val="724"/>
        <w:keepNext w:val="false"/>
        <w:keepLines w:val="false"/>
        <w:pageBreakBefore w:val="false"/>
        <w:widowControl w:val="false"/>
        <w:numPr>
          <w:ilvl w:val="0"/>
          <w:numId w:val="0"/>
        </w:numPr>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ar-SA"/>
        </w:rPr>
        <w:t xml:space="preserve">（1）</w:t>
      </w:r>
      <w:r>
        <w:rPr>
          <w:rFonts w:hint="default" w:ascii="Times New Roman" w:hAnsi="Times New Roman" w:eastAsia="仿宋_GB2312" w:cs="Times New Roman"/>
          <w:color w:val="auto"/>
          <w:sz w:val="32"/>
          <w:szCs w:val="32"/>
        </w:rPr>
        <w:t xml:space="preserve">社会效益（10分），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解决了市区人口饮水供给能力不足问题，保证了饮水质量，提高了居民的生活水平，实现供水管线日供水量20万方，解决40万城区人民的安全饮水问题，扩大了自来水的供水规模、供水范围，促进市区发展，不扣分，得10分。</w:t>
      </w:r>
      <w:bookmarkEnd w:id="335"/>
      <w:r/>
      <w:r>
        <w:rPr>
          <w:rFonts w:hint="default" w:ascii="Times New Roman" w:hAnsi="Times New Roman" w:eastAsia="仿宋_GB2312" w:cs="Times New Roman"/>
          <w:color w:val="auto"/>
          <w:sz w:val="32"/>
          <w:szCs w:val="32"/>
        </w:rPr>
      </w:r>
    </w:p>
    <w:p>
      <w:pPr>
        <w:keepNext w:val="false"/>
        <w:keepLines w:val="false"/>
        <w:pageBreakBefore w:val="false"/>
        <w:widowControl w:val="false"/>
        <w:numPr>
          <w:ilvl w:val="0"/>
          <w:numId w:val="0"/>
        </w:numPr>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ar-SA"/>
        </w:rPr>
        <w:t xml:space="preserve">（2）</w:t>
      </w:r>
      <w:r>
        <w:rPr>
          <w:rFonts w:hint="default" w:ascii="Times New Roman" w:hAnsi="Times New Roman" w:eastAsia="仿宋_GB2312" w:cs="Times New Roman"/>
          <w:color w:val="auto"/>
          <w:sz w:val="32"/>
          <w:szCs w:val="32"/>
        </w:rPr>
        <w:t xml:space="preserve">可持续发展（10分），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加强管线巡查检查，定期对管线进行维护保养，延长其使用寿命，鄂西北水资源配置二期随州市先觉庙分水口配套工程建设项目可持续使用年限20年，显著增强区域社会经济持续发展能力。不扣分，得10分。</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36" w:name="_Toc12275"/>
      <w:r/>
      <w:bookmarkStart w:id="337" w:name="_Toc12843"/>
      <w:r>
        <w:rPr>
          <w:rFonts w:hint="default" w:ascii="Times New Roman" w:hAnsi="Times New Roman" w:eastAsia="仿宋_GB2312" w:cs="Times New Roman"/>
          <w:color w:val="auto"/>
          <w:sz w:val="32"/>
          <w:szCs w:val="32"/>
        </w:rPr>
        <w:t xml:space="preserve">（3）社会公众及服务对象满意度（7分）</w:t>
      </w:r>
      <w:bookmarkEnd w:id="336"/>
      <w:r>
        <w:rPr>
          <w:rFonts w:hint="default" w:ascii="Times New Roman" w:hAnsi="Times New Roman" w:eastAsia="仿宋_GB2312" w:cs="Times New Roman"/>
          <w:color w:val="auto"/>
          <w:sz w:val="32"/>
          <w:szCs w:val="32"/>
        </w:rPr>
        <w:t xml:space="preserve">评价小组通过与项目实施单位进行访谈，向社会公众服务对象发放调查问卷，发放对象为社会公众10份（A）,服务对象10份（B）</w:t>
      </w:r>
      <w:r>
        <w:rPr>
          <w:rFonts w:hint="eastAsia" w:ascii="Times New Roman" w:hAnsi="Times New Roman" w:eastAsia="仿宋_GB2312" w:cs="Times New Roman"/>
          <w:color w:val="auto"/>
          <w:sz w:val="32"/>
          <w:szCs w:val="32"/>
          <w:lang w:eastAsia="zh-CN"/>
        </w:rPr>
        <w:t xml:space="preserve">，</w:t>
      </w:r>
      <w:r>
        <w:rPr>
          <w:rFonts w:hint="default" w:ascii="Times New Roman" w:hAnsi="Times New Roman" w:eastAsia="仿宋_GB2312" w:cs="Times New Roman"/>
          <w:color w:val="auto"/>
          <w:sz w:val="32"/>
          <w:szCs w:val="32"/>
        </w:rPr>
        <w:t xml:space="preserve">并以这些对象的加权得分为衡量社会公众满意度的标准。</w:t>
      </w:r>
      <w:bookmarkEnd w:id="285"/>
      <w:r/>
      <w:bookmarkEnd w:id="337"/>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38" w:name="_Toc7540"/>
      <w:r>
        <w:rPr>
          <w:rFonts w:hint="default" w:ascii="Times New Roman" w:hAnsi="Times New Roman" w:eastAsia="仿宋_GB2312" w:cs="Times New Roman"/>
          <w:color w:val="auto"/>
          <w:sz w:val="32"/>
          <w:szCs w:val="32"/>
        </w:rPr>
        <w:t xml:space="preserve">最终得分=A类得分*60%+B类得分*40%</w:t>
      </w:r>
      <w:bookmarkEnd w:id="338"/>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39" w:name="_Toc1261"/>
      <w:r>
        <w:rPr>
          <w:rFonts w:hint="default" w:ascii="Times New Roman" w:hAnsi="Times New Roman" w:eastAsia="仿宋_GB2312" w:cs="Times New Roman"/>
          <w:color w:val="auto"/>
          <w:sz w:val="32"/>
          <w:szCs w:val="32"/>
        </w:rPr>
        <w:t xml:space="preserve">=95*60%+96*40%</w:t>
      </w:r>
      <w:bookmarkEnd w:id="339"/>
      <w:r/>
      <w:bookmarkStart w:id="340" w:name="_Toc21555"/>
      <w:r>
        <w:rPr>
          <w:rFonts w:hint="default" w:ascii="Times New Roman" w:hAnsi="Times New Roman" w:eastAsia="仿宋_GB2312" w:cs="Times New Roman"/>
          <w:color w:val="auto"/>
          <w:sz w:val="32"/>
          <w:szCs w:val="32"/>
        </w:rPr>
        <w:t xml:space="preserve">=95.40分</w:t>
      </w:r>
      <w:bookmarkEnd w:id="340"/>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outlineLvl w:val="2"/>
        <w:rPr>
          <w:rFonts w:hint="default" w:ascii="Times New Roman" w:hAnsi="Times New Roman" w:eastAsia="仿宋_GB2312" w:cs="Times New Roman"/>
          <w:color w:val="auto"/>
          <w:sz w:val="32"/>
          <w:szCs w:val="32"/>
        </w:rPr>
      </w:pPr>
      <w:r/>
      <w:bookmarkStart w:id="341" w:name="_Toc4156"/>
      <w:r>
        <w:rPr>
          <w:rFonts w:hint="default" w:ascii="Times New Roman" w:hAnsi="Times New Roman" w:eastAsia="仿宋_GB2312" w:cs="Times New Roman"/>
          <w:color w:val="auto"/>
          <w:sz w:val="32"/>
          <w:szCs w:val="32"/>
        </w:rPr>
        <w:t xml:space="preserve">问卷调查得分良好，但因样本量有限，本项扣2分，最终得分8分。</w:t>
      </w:r>
      <w:bookmarkEnd w:id="341"/>
      <w:r/>
      <w:r>
        <w:rPr>
          <w:rFonts w:hint="default" w:ascii="Times New Roman" w:hAnsi="Times New Roman" w:eastAsia="仿宋_GB2312" w:cs="Times New Roman"/>
          <w:color w:val="auto"/>
          <w:sz w:val="32"/>
          <w:szCs w:val="32"/>
        </w:rPr>
      </w:r>
    </w:p>
    <w:p>
      <w:pPr>
        <w:keepNext w:val="false"/>
        <w:keepLines w:val="false"/>
        <w:pageBreakBefore w:val="false"/>
        <w:widowControl w:val="false"/>
        <w:numPr>
          <w:ilvl w:val="0"/>
          <w:numId w:val="0"/>
        </w:numPr>
        <w:pBdr/>
        <w:spacing w:line="620" w:lineRule="exact"/>
        <w:ind w:firstLine="643" w:left="0"/>
        <w:jc w:val="both"/>
        <w:outlineLvl w:val="1"/>
        <w:rPr>
          <w:rFonts w:hint="eastAsia" w:ascii="楷体_GB2312" w:hAnsi="楷体_GB2312" w:eastAsia="楷体_GB2312" w:cs="楷体_GB2312"/>
          <w:b/>
          <w:bCs/>
          <w:color w:val="auto"/>
          <w:sz w:val="32"/>
          <w:szCs w:val="32"/>
        </w:rPr>
      </w:pPr>
      <w:r/>
      <w:bookmarkStart w:id="342" w:name="_Toc28099"/>
      <w:r>
        <w:rPr>
          <w:rFonts w:hint="eastAsia" w:ascii="楷体_GB2312" w:hAnsi="楷体_GB2312" w:eastAsia="楷体_GB2312" w:cs="楷体_GB2312"/>
          <w:b/>
          <w:bCs/>
          <w:color w:val="auto"/>
          <w:sz w:val="32"/>
          <w:szCs w:val="32"/>
          <w:lang w:val="en-US" w:eastAsia="zh-CN" w:bidi="ar-SA"/>
        </w:rPr>
        <w:t xml:space="preserve">（四）</w:t>
      </w:r>
      <w:r>
        <w:rPr>
          <w:rFonts w:hint="eastAsia" w:ascii="楷体_GB2312" w:hAnsi="楷体_GB2312" w:eastAsia="楷体_GB2312" w:cs="楷体_GB2312"/>
          <w:b/>
          <w:bCs/>
          <w:color w:val="auto"/>
          <w:sz w:val="32"/>
          <w:szCs w:val="32"/>
        </w:rPr>
        <w:t xml:space="preserve">其他佐证材料</w:t>
      </w:r>
      <w:bookmarkEnd w:id="342"/>
      <w:r/>
      <w:r>
        <w:rPr>
          <w:rFonts w:hint="eastAsia" w:ascii="楷体_GB2312" w:hAnsi="楷体_GB2312" w:eastAsia="楷体_GB2312" w:cs="楷体_GB2312"/>
          <w:b/>
          <w:bCs/>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略</w:t>
      </w:r>
      <w:r>
        <w:rPr>
          <w:rFonts w:hint="default" w:ascii="Times New Roman" w:hAnsi="Times New Roman" w:eastAsia="仿宋_GB2312" w:cs="Times New Roman"/>
          <w:color w:val="auto"/>
          <w:sz w:val="32"/>
          <w:szCs w:val="32"/>
          <w:lang w:val="en-US" w:eastAsia="zh-CN"/>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r>
      <w:r>
        <w:rPr>
          <w:rFonts w:hint="default" w:ascii="Times New Roman" w:hAnsi="Times New Roman" w:eastAsia="仿宋_GB2312" w:cs="Times New Roman"/>
          <w:color w:val="auto"/>
          <w:sz w:val="32"/>
          <w:szCs w:val="32"/>
        </w:rPr>
      </w:r>
    </w:p>
    <w:p>
      <w:pPr>
        <w:keepNext w:val="false"/>
        <w:keepLines w:val="false"/>
        <w:pageBreakBefore w:val="false"/>
        <w:widowControl w:val="false"/>
        <w:pBdr/>
        <w:tabs>
          <w:tab w:val="left" w:leader="none" w:pos="3660"/>
        </w:tabs>
        <w:spacing w:line="620" w:lineRule="exact"/>
        <w:ind w:firstLine="352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湖北卓悦会计师事务所（普通合伙）</w:t>
      </w:r>
      <w:r>
        <w:rPr>
          <w:rFonts w:hint="default" w:ascii="Times New Roman" w:hAnsi="Times New Roman" w:eastAsia="仿宋_GB2312" w:cs="Times New Roman"/>
          <w:color w:val="auto"/>
          <w:sz w:val="32"/>
          <w:szCs w:val="32"/>
        </w:rPr>
      </w:r>
    </w:p>
    <w:p>
      <w:pPr>
        <w:keepNext w:val="false"/>
        <w:keepLines w:val="false"/>
        <w:pageBreakBefore w:val="false"/>
        <w:widowControl w:val="false"/>
        <w:pBdr/>
        <w:spacing w:line="620" w:lineRule="exact"/>
        <w:ind w:firstLine="4800" w:left="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主评人1：</w:t>
      </w:r>
      <w:r>
        <w:rPr>
          <w:rFonts w:hint="default" w:ascii="Times New Roman" w:hAnsi="Times New Roman" w:eastAsia="仿宋_GB2312" w:cs="Times New Roman"/>
          <w:color w:val="auto"/>
          <w:sz w:val="32"/>
          <w:szCs w:val="32"/>
          <w:lang w:eastAsia="zh-CN"/>
        </w:rPr>
        <w:t xml:space="preserve">周冰峰</w:t>
      </w:r>
      <w:r>
        <w:rPr>
          <w:rFonts w:hint="default" w:ascii="Times New Roman" w:hAnsi="Times New Roman" w:eastAsia="仿宋_GB2312" w:cs="Times New Roman"/>
          <w:color w:val="auto"/>
          <w:sz w:val="32"/>
          <w:szCs w:val="32"/>
          <w:lang w:eastAsia="zh-CN"/>
        </w:rPr>
      </w:r>
    </w:p>
    <w:p>
      <w:pPr>
        <w:keepNext w:val="false"/>
        <w:keepLines w:val="false"/>
        <w:pageBreakBefore w:val="false"/>
        <w:widowControl w:val="false"/>
        <w:pBdr/>
        <w:spacing w:line="620" w:lineRule="exact"/>
        <w:ind w:firstLine="4800" w:left="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主评人2：</w:t>
      </w:r>
      <w:r>
        <w:rPr>
          <w:rFonts w:hint="default" w:ascii="Times New Roman" w:hAnsi="Times New Roman" w:eastAsia="仿宋_GB2312" w:cs="Times New Roman"/>
          <w:color w:val="auto"/>
          <w:sz w:val="32"/>
          <w:szCs w:val="32"/>
          <w:lang w:eastAsia="zh-CN"/>
        </w:rPr>
        <w:t xml:space="preserve">杨君智</w:t>
      </w:r>
      <w:r>
        <w:rPr>
          <w:rFonts w:hint="default" w:ascii="Times New Roman" w:hAnsi="Times New Roman" w:eastAsia="仿宋_GB2312" w:cs="Times New Roman"/>
          <w:color w:val="auto"/>
          <w:sz w:val="32"/>
          <w:szCs w:val="32"/>
          <w:lang w:eastAsia="zh-CN"/>
        </w:rPr>
      </w:r>
    </w:p>
    <w:p>
      <w:pPr>
        <w:keepNext w:val="false"/>
        <w:keepLines w:val="false"/>
        <w:pageBreakBefore w:val="false"/>
        <w:widowControl w:val="false"/>
        <w:pBdr/>
        <w:tabs>
          <w:tab w:val="left" w:leader="none" w:pos="5130"/>
        </w:tabs>
        <w:spacing w:line="620" w:lineRule="exact"/>
        <w:ind w:firstLine="640" w:lef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 xml:space="preserve">2023年7月6日</w:t>
      </w:r>
      <w:r>
        <w:rPr>
          <w:rFonts w:hint="default" w:ascii="Times New Roman" w:hAnsi="Times New Roman" w:eastAsia="仿宋_GB2312" w:cs="Times New Roman"/>
          <w:color w:val="auto"/>
          <w:sz w:val="32"/>
          <w:szCs w:val="32"/>
        </w:rPr>
      </w:r>
    </w:p>
    <w:p>
      <w:pPr>
        <w:pBdr/>
        <w:spacing/>
        <w:ind w:firstLine="0" w:left="0"/>
        <w:rPr>
          <w:rFonts w:hint="eastAsia" w:ascii="仿宋" w:hAnsi="仿宋" w:eastAsia="仿宋" w:cs="仿宋"/>
          <w:color w:val="auto"/>
          <w:szCs w:val="32"/>
          <w:highlight w:val="none"/>
          <w:u w:val="single"/>
        </w:rPr>
      </w:pPr>
      <w:r>
        <w:rPr>
          <w:rFonts w:hint="eastAsia" w:ascii="仿宋" w:hAnsi="仿宋" w:eastAsia="仿宋" w:cs="仿宋"/>
          <w:color w:val="auto"/>
          <w:szCs w:val="32"/>
          <w:highlight w:val="none"/>
          <w:u w:val="single"/>
        </w:rPr>
      </w:r>
      <w:r>
        <w:rPr>
          <w:rFonts w:hint="eastAsia" w:ascii="仿宋" w:hAnsi="仿宋" w:eastAsia="仿宋" w:cs="仿宋"/>
          <w:color w:val="auto"/>
          <w:szCs w:val="32"/>
          <w:highlight w:val="none"/>
          <w:u w:val="single"/>
        </w:rPr>
      </w:r>
    </w:p>
    <w:sectPr>
      <w:headerReference w:type="default" r:id="rId9"/>
      <w:footerReference w:type="default" r:id="rId10"/>
      <w:footnotePr/>
      <w:endnotePr/>
      <w:type w:val="nextPage"/>
      <w:pgSz w:h="16838" w:orient="landscape" w:w="11906"/>
      <w:pgMar w:top="1984" w:right="1587" w:bottom="1814" w:left="1587" w:header="851" w:footer="1417" w:gutter="0"/>
      <w:cols w:num="1" w:sep="0" w:space="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firstLine="640"/>
        <w:rPr/>
      </w:pPr>
      <w:r>
        <w:separator/>
      </w:r>
      <w:r/>
    </w:p>
  </w:endnote>
  <w:endnote w:type="continuationSeparator" w:id="0">
    <w:p>
      <w:pPr>
        <w:pBdr/>
        <w:spacing w:line="240" w:lineRule="auto"/>
        <w:ind w:firstLine="640"/>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小标宋_GBK">
    <w:panose1 w:val="020B0604020202020204"/>
  </w:font>
  <w:font w:name="华文仿宋">
    <w:panose1 w:val="02010600040101010101"/>
  </w:font>
  <w:font w:name="Symbol">
    <w:panose1 w:val="05050102010706020507"/>
  </w:font>
  <w:font w:name="Wingdings">
    <w:panose1 w:val="05000000000000000000"/>
  </w:font>
  <w:font w:name="宋体">
    <w:panose1 w:val="02010600030101010101"/>
  </w:font>
  <w:font w:name="方正小标宋简体">
    <w:panose1 w:val="020B0604020202020204"/>
  </w:font>
  <w:font w:name="仿宋_GB2312">
    <w:panose1 w:val="02010609060101010101"/>
  </w:font>
  <w:font w:name="楷体">
    <w:panose1 w:val="02010609060101010101"/>
  </w:font>
  <w:font w:name="黑体">
    <w:panose1 w:val="02010609060101010101"/>
  </w:font>
  <w:font w:name="楷体_GB2312">
    <w:panose1 w:val="02010609060101010101"/>
  </w:font>
  <w:font w:name="仿宋">
    <w:panose1 w:val="02010609060101010101"/>
  </w:font>
  <w:font w:name="Courier New">
    <w:panose1 w:val="02070309020205020404"/>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0"/>
      <w:keepNext w:val="false"/>
      <w:keepLines w:val="false"/>
      <w:pageBreakBefore w:val="false"/>
      <w:widowControl w:val="false"/>
      <w:pBdr/>
      <w:spacing w:line="240" w:lineRule="exact"/>
      <w:ind/>
      <w:rPr/>
    </w:pPr>
    <w:r>
      <w:rPr>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outside</wp:align>
              </wp:positionH>
              <wp:positionV relativeFrom="paragraph">
                <wp:posOffset>240030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20"/>
                            <w:keepNext w:val="false"/>
                            <w:keepLines w:val="false"/>
                            <w:pageBreakBefore w:val="false"/>
                            <w:widowControl w:val="false"/>
                            <w:pBdr/>
                            <w:spacing w:line="240" w:lineRule="exact"/>
                            <w:ind w:firstLine="0" w:left="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xml:space="preserve">1</w:t>
                          </w:r>
                          <w:r>
                            <w:rPr>
                              <w:sz w:val="24"/>
                              <w:szCs w:val="24"/>
                            </w:rPr>
                            <w:fldChar w:fldCharType="end"/>
                          </w:r>
                          <w:r>
                            <w:rPr>
                              <w:sz w:val="24"/>
                              <w:szCs w:val="24"/>
                            </w:rPr>
                            <w:t xml:space="preserve"> —</w:t>
                          </w:r>
                          <w:r>
                            <w:rPr>
                              <w:sz w:val="24"/>
                              <w:szCs w:val="24"/>
                            </w:rPr>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shape 0" o:spid="_x0000_s0" o:spt="202" type="#_x0000_t202" style="position:absolute;z-index:251659264;o:allowoverlap:true;o:allowincell:true;mso-position-horizontal-relative:margin;mso-position-horizontal:outside;mso-position-vertical-relative:text;margin-top:18.90pt;mso-position-vertical:absolute;width:144.00pt;height:144.00pt;mso-wrap-distance-left:9.00pt;mso-wrap-distance-top:0.00pt;mso-wrap-distance-right:9.00pt;mso-wrap-distance-bottom:0.00pt;v-text-anchor:top;visibility:visible;" filled="f" stroked="f" strokeweight="0.50pt">
              <v:textbox inset="0,0,0,0">
                <w:txbxContent>
                  <w:p>
                    <w:pPr>
                      <w:pStyle w:val="720"/>
                      <w:keepNext w:val="false"/>
                      <w:keepLines w:val="false"/>
                      <w:pageBreakBefore w:val="false"/>
                      <w:widowControl w:val="false"/>
                      <w:pBdr/>
                      <w:spacing w:line="240" w:lineRule="exact"/>
                      <w:ind w:firstLine="0" w:left="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xml:space="preserve">1</w:t>
                    </w:r>
                    <w:r>
                      <w:rPr>
                        <w:sz w:val="24"/>
                        <w:szCs w:val="24"/>
                      </w:rPr>
                      <w:fldChar w:fldCharType="end"/>
                    </w:r>
                    <w:r>
                      <w:rPr>
                        <w:sz w:val="24"/>
                        <w:szCs w:val="24"/>
                      </w:rPr>
                      <w:t xml:space="preserve"> —</w:t>
                    </w:r>
                    <w:r>
                      <w:rPr>
                        <w:sz w:val="24"/>
                        <w:szCs w:val="24"/>
                      </w:rP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firstLine="640"/>
        <w:rPr/>
      </w:pPr>
      <w:r>
        <w:separator/>
      </w:r>
      <w:r/>
    </w:p>
  </w:footnote>
  <w:footnote w:type="continuationSeparator" w:id="0">
    <w:p>
      <w:pPr>
        <w:pBdr/>
        <w:spacing w:line="240" w:lineRule="auto"/>
        <w:ind w:firstLine="640"/>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1"/>
      <w:pBdr>
        <w:bottom w:val="none" w:color="000000" w:sz="0" w:space="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EnclosedCircle"/>
      <w:pPr>
        <w:pBdr/>
        <w:spacing/>
        <w:ind w:hanging="360" w:left="360"/>
      </w:pPr>
      <w:rPr>
        <w:rFonts w:hint="default"/>
      </w:rPr>
      <w:start w:val="1"/>
      <w:suff w:val="space"/>
    </w:lvl>
    <w:lvl w:ilvl="1">
      <w:isLgl w:val="false"/>
      <w:lvlJc w:val="left"/>
      <w:lvlText w:val="%2)"/>
      <w:numFmt w:val="lowerLetter"/>
      <w:pPr>
        <w:pBdr/>
        <w:spacing/>
        <w:ind w:hanging="420" w:left="840"/>
      </w:pPr>
      <w:rPr/>
      <w:start w:val="1"/>
      <w:suff w:val="space"/>
    </w:lvl>
    <w:lvl w:ilvl="2">
      <w:isLgl w:val="false"/>
      <w:lvlJc w:val="right"/>
      <w:lvlText w:val="%3."/>
      <w:numFmt w:val="lowerRoman"/>
      <w:pPr>
        <w:pBdr/>
        <w:spacing/>
        <w:ind w:hanging="420" w:left="1260"/>
      </w:pPr>
      <w:rPr/>
      <w:start w:val="1"/>
      <w:suff w:val="space"/>
    </w:lvl>
    <w:lvl w:ilvl="3">
      <w:isLgl w:val="false"/>
      <w:lvlJc w:val="left"/>
      <w:lvlText w:val="%4."/>
      <w:numFmt w:val="decimal"/>
      <w:pPr>
        <w:pBdr/>
        <w:spacing/>
        <w:ind w:hanging="420" w:left="1680"/>
      </w:pPr>
      <w:rPr/>
      <w:start w:val="1"/>
      <w:suff w:val="space"/>
    </w:lvl>
    <w:lvl w:ilvl="4">
      <w:isLgl w:val="false"/>
      <w:lvlJc w:val="left"/>
      <w:lvlText w:val="%5)"/>
      <w:numFmt w:val="lowerLetter"/>
      <w:pPr>
        <w:pBdr/>
        <w:spacing/>
        <w:ind w:hanging="420" w:left="2100"/>
      </w:pPr>
      <w:rPr/>
      <w:start w:val="1"/>
      <w:suff w:val="space"/>
    </w:lvl>
    <w:lvl w:ilvl="5">
      <w:isLgl w:val="false"/>
      <w:lvlJc w:val="right"/>
      <w:lvlText w:val="%6."/>
      <w:numFmt w:val="lowerRoman"/>
      <w:pPr>
        <w:pBdr/>
        <w:spacing/>
        <w:ind w:hanging="420" w:left="2520"/>
      </w:pPr>
      <w:rPr/>
      <w:start w:val="1"/>
      <w:suff w:val="space"/>
    </w:lvl>
    <w:lvl w:ilvl="6">
      <w:isLgl w:val="false"/>
      <w:lvlJc w:val="left"/>
      <w:lvlText w:val="%7."/>
      <w:numFmt w:val="decimal"/>
      <w:pPr>
        <w:pBdr/>
        <w:spacing/>
        <w:ind w:hanging="420" w:left="2940"/>
      </w:pPr>
      <w:rPr/>
      <w:start w:val="1"/>
      <w:suff w:val="space"/>
    </w:lvl>
    <w:lvl w:ilvl="7">
      <w:isLgl w:val="false"/>
      <w:lvlJc w:val="left"/>
      <w:lvlText w:val="%8)"/>
      <w:numFmt w:val="lowerLetter"/>
      <w:pPr>
        <w:pBdr/>
        <w:spacing/>
        <w:ind w:hanging="420" w:left="3360"/>
      </w:pPr>
      <w:rPr/>
      <w:start w:val="1"/>
      <w:suff w:val="space"/>
    </w:lvl>
    <w:lvl w:ilvl="8">
      <w:isLgl w:val="false"/>
      <w:lvlJc w:val="right"/>
      <w:lvlText w:val="%9."/>
      <w:numFmt w:val="lowerRoman"/>
      <w:pPr>
        <w:pBdr/>
        <w:spacing/>
        <w:ind w:hanging="420" w:left="3780"/>
      </w:pPr>
      <w:rPr/>
      <w:start w:val="1"/>
      <w:suff w:val="space"/>
    </w:lvl>
  </w:abstractNum>
  <w:abstractNum w:abstractNumId="1">
    <w:lvl w:ilvl="0">
      <w:isLgl w:val="false"/>
      <w:lvlJc w:val="left"/>
      <w:lvlText w:val="%1、"/>
      <w:numFmt w:val="decimal"/>
      <w:pPr>
        <w:pBdr/>
        <w:spacing/>
        <w:ind/>
      </w:pPr>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decimal"/>
      <w:pPr>
        <w:pBdr/>
        <w:spacing/>
        <w:ind w:hanging="360" w:left="360"/>
      </w:pPr>
      <w:rPr>
        <w:rFonts w:hint="default"/>
      </w:rPr>
      <w:start w:val="1"/>
      <w:suff w:val="space"/>
    </w:lvl>
    <w:lvl w:ilvl="1">
      <w:isLgl w:val="false"/>
      <w:lvlJc w:val="left"/>
      <w:lvlText w:val="%2)"/>
      <w:numFmt w:val="lowerLetter"/>
      <w:pPr>
        <w:pBdr/>
        <w:spacing/>
        <w:ind w:hanging="420" w:left="840"/>
      </w:pPr>
      <w:rPr/>
      <w:start w:val="1"/>
      <w:suff w:val="space"/>
    </w:lvl>
    <w:lvl w:ilvl="2">
      <w:isLgl w:val="false"/>
      <w:lvlJc w:val="right"/>
      <w:lvlText w:val="%3."/>
      <w:numFmt w:val="lowerRoman"/>
      <w:pPr>
        <w:pBdr/>
        <w:spacing/>
        <w:ind w:hanging="420" w:left="1260"/>
      </w:pPr>
      <w:rPr/>
      <w:start w:val="1"/>
      <w:suff w:val="space"/>
    </w:lvl>
    <w:lvl w:ilvl="3">
      <w:isLgl w:val="false"/>
      <w:lvlJc w:val="left"/>
      <w:lvlText w:val="%4."/>
      <w:numFmt w:val="decimal"/>
      <w:pPr>
        <w:pBdr/>
        <w:spacing/>
        <w:ind w:hanging="420" w:left="1680"/>
      </w:pPr>
      <w:rPr/>
      <w:start w:val="1"/>
      <w:suff w:val="space"/>
    </w:lvl>
    <w:lvl w:ilvl="4">
      <w:isLgl w:val="false"/>
      <w:lvlJc w:val="left"/>
      <w:lvlText w:val="%5)"/>
      <w:numFmt w:val="lowerLetter"/>
      <w:pPr>
        <w:pBdr/>
        <w:spacing/>
        <w:ind w:hanging="420" w:left="2100"/>
      </w:pPr>
      <w:rPr/>
      <w:start w:val="1"/>
      <w:suff w:val="space"/>
    </w:lvl>
    <w:lvl w:ilvl="5">
      <w:isLgl w:val="false"/>
      <w:lvlJc w:val="right"/>
      <w:lvlText w:val="%6."/>
      <w:numFmt w:val="lowerRoman"/>
      <w:pPr>
        <w:pBdr/>
        <w:spacing/>
        <w:ind w:hanging="420" w:left="2520"/>
      </w:pPr>
      <w:rPr/>
      <w:start w:val="1"/>
      <w:suff w:val="space"/>
    </w:lvl>
    <w:lvl w:ilvl="6">
      <w:isLgl w:val="false"/>
      <w:lvlJc w:val="left"/>
      <w:lvlText w:val="%7."/>
      <w:numFmt w:val="decimal"/>
      <w:pPr>
        <w:pBdr/>
        <w:spacing/>
        <w:ind w:hanging="420" w:left="2940"/>
      </w:pPr>
      <w:rPr/>
      <w:start w:val="1"/>
      <w:suff w:val="space"/>
    </w:lvl>
    <w:lvl w:ilvl="7">
      <w:isLgl w:val="false"/>
      <w:lvlJc w:val="left"/>
      <w:lvlText w:val="%8)"/>
      <w:numFmt w:val="lowerLetter"/>
      <w:pPr>
        <w:pBdr/>
        <w:spacing/>
        <w:ind w:hanging="420" w:left="3360"/>
      </w:pPr>
      <w:rPr/>
      <w:start w:val="1"/>
      <w:suff w:val="space"/>
    </w:lvl>
    <w:lvl w:ilvl="8">
      <w:isLgl w:val="false"/>
      <w:lvlJc w:val="right"/>
      <w:lvlText w:val="%9."/>
      <w:numFmt w:val="lowerRoman"/>
      <w:pPr>
        <w:pBdr/>
        <w:spacing/>
        <w:ind w:hanging="420" w:left="3780"/>
      </w:pPr>
      <w:rPr/>
      <w:start w:val="1"/>
      <w:suff w:val="space"/>
    </w:lvl>
  </w:abstractNum>
  <w:abstractNum w:abstractNumId="3">
    <w:lvl w:ilvl="0">
      <w:isLgl w:val="false"/>
      <w:lvlJc w:val="left"/>
      <w:lvlText w:val="（%1）"/>
      <w:numFmt w:val="decimal"/>
      <w:pPr>
        <w:pBdr/>
        <w:spacing/>
        <w:ind/>
      </w:pPr>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15"/>
    <w:link w:val="710"/>
    <w:uiPriority w:val="9"/>
    <w:pPr>
      <w:pBdr/>
      <w:spacing/>
      <w:ind/>
    </w:pPr>
    <w:rPr>
      <w:rFonts w:ascii="等线" w:hAnsi="等线" w:eastAsia="等线" w:cs="等线"/>
      <w:sz w:val="40"/>
      <w:szCs w:val="40"/>
    </w:rPr>
  </w:style>
  <w:style w:type="character" w:styleId="16">
    <w:name w:val="Heading 2 Char"/>
    <w:basedOn w:val="715"/>
    <w:link w:val="711"/>
    <w:uiPriority w:val="9"/>
    <w:pPr>
      <w:pBdr/>
      <w:spacing/>
      <w:ind/>
    </w:pPr>
    <w:rPr>
      <w:rFonts w:ascii="等线" w:hAnsi="等线" w:eastAsia="等线" w:cs="等线"/>
      <w:sz w:val="34"/>
    </w:rPr>
  </w:style>
  <w:style w:type="character" w:styleId="18">
    <w:name w:val="Heading 3 Char"/>
    <w:basedOn w:val="715"/>
    <w:link w:val="712"/>
    <w:uiPriority w:val="9"/>
    <w:pPr>
      <w:pBdr/>
      <w:spacing/>
      <w:ind/>
    </w:pPr>
    <w:rPr>
      <w:rFonts w:ascii="等线" w:hAnsi="等线" w:eastAsia="等线" w:cs="等线"/>
      <w:sz w:val="30"/>
      <w:szCs w:val="30"/>
    </w:rPr>
  </w:style>
  <w:style w:type="character" w:styleId="20">
    <w:name w:val="Heading 4 Char"/>
    <w:basedOn w:val="715"/>
    <w:link w:val="713"/>
    <w:uiPriority w:val="9"/>
    <w:pPr>
      <w:pBdr/>
      <w:spacing/>
      <w:ind/>
    </w:pPr>
    <w:rPr>
      <w:rFonts w:ascii="等线" w:hAnsi="等线" w:eastAsia="等线" w:cs="等线"/>
      <w:b/>
      <w:bCs/>
      <w:sz w:val="26"/>
      <w:szCs w:val="26"/>
    </w:rPr>
  </w:style>
  <w:style w:type="character" w:styleId="22">
    <w:name w:val="Heading 5 Char"/>
    <w:basedOn w:val="715"/>
    <w:link w:val="714"/>
    <w:uiPriority w:val="9"/>
    <w:pPr>
      <w:pBdr/>
      <w:spacing/>
      <w:ind/>
    </w:pPr>
    <w:rPr>
      <w:rFonts w:ascii="等线" w:hAnsi="等线" w:eastAsia="等线" w:cs="等线"/>
      <w:b/>
      <w:bCs/>
      <w:sz w:val="24"/>
      <w:szCs w:val="24"/>
    </w:rPr>
  </w:style>
  <w:style w:type="paragraph" w:styleId="23">
    <w:name w:val="Heading 6"/>
    <w:basedOn w:val="709"/>
    <w:next w:val="709"/>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15"/>
    <w:link w:val="23"/>
    <w:uiPriority w:val="9"/>
    <w:pPr>
      <w:pBdr/>
      <w:spacing/>
      <w:ind/>
    </w:pPr>
    <w:rPr>
      <w:rFonts w:ascii="等线" w:hAnsi="等线" w:eastAsia="等线" w:cs="等线"/>
      <w:b/>
      <w:bCs/>
      <w:sz w:val="22"/>
      <w:szCs w:val="22"/>
    </w:rPr>
  </w:style>
  <w:style w:type="paragraph" w:styleId="25">
    <w:name w:val="Heading 7"/>
    <w:basedOn w:val="709"/>
    <w:next w:val="709"/>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15"/>
    <w:link w:val="25"/>
    <w:uiPriority w:val="9"/>
    <w:pPr>
      <w:pBdr/>
      <w:spacing/>
      <w:ind/>
    </w:pPr>
    <w:rPr>
      <w:rFonts w:ascii="等线" w:hAnsi="等线" w:eastAsia="等线" w:cs="等线"/>
      <w:b/>
      <w:bCs/>
      <w:i/>
      <w:iCs/>
      <w:sz w:val="22"/>
      <w:szCs w:val="22"/>
    </w:rPr>
  </w:style>
  <w:style w:type="paragraph" w:styleId="27">
    <w:name w:val="Heading 8"/>
    <w:basedOn w:val="709"/>
    <w:next w:val="709"/>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15"/>
    <w:link w:val="27"/>
    <w:uiPriority w:val="9"/>
    <w:pPr>
      <w:pBdr/>
      <w:spacing/>
      <w:ind/>
    </w:pPr>
    <w:rPr>
      <w:rFonts w:ascii="等线" w:hAnsi="等线" w:eastAsia="等线" w:cs="等线"/>
      <w:i/>
      <w:iCs/>
      <w:sz w:val="22"/>
      <w:szCs w:val="22"/>
    </w:rPr>
  </w:style>
  <w:style w:type="paragraph" w:styleId="29">
    <w:name w:val="Heading 9"/>
    <w:basedOn w:val="709"/>
    <w:next w:val="709"/>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15"/>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709"/>
    <w:next w:val="709"/>
    <w:link w:val="35"/>
    <w:uiPriority w:val="10"/>
    <w:qFormat/>
    <w:pPr>
      <w:pBdr/>
      <w:spacing w:after="200" w:before="300"/>
      <w:ind/>
      <w:contextualSpacing w:val="true"/>
    </w:pPr>
    <w:rPr>
      <w:sz w:val="48"/>
      <w:szCs w:val="48"/>
    </w:rPr>
  </w:style>
  <w:style w:type="character" w:styleId="35">
    <w:name w:val="Title Char"/>
    <w:basedOn w:val="715"/>
    <w:link w:val="34"/>
    <w:uiPriority w:val="10"/>
    <w:pPr>
      <w:pBdr/>
      <w:spacing/>
      <w:ind/>
    </w:pPr>
    <w:rPr>
      <w:sz w:val="48"/>
      <w:szCs w:val="48"/>
    </w:rPr>
  </w:style>
  <w:style w:type="paragraph" w:styleId="36">
    <w:name w:val="Subtitle"/>
    <w:basedOn w:val="709"/>
    <w:next w:val="709"/>
    <w:link w:val="37"/>
    <w:uiPriority w:val="11"/>
    <w:qFormat/>
    <w:pPr>
      <w:pBdr/>
      <w:spacing w:after="200" w:before="200"/>
      <w:ind/>
    </w:pPr>
    <w:rPr>
      <w:sz w:val="24"/>
      <w:szCs w:val="24"/>
    </w:rPr>
  </w:style>
  <w:style w:type="character" w:styleId="37">
    <w:name w:val="Subtitle Char"/>
    <w:basedOn w:val="715"/>
    <w:link w:val="36"/>
    <w:uiPriority w:val="11"/>
    <w:pPr>
      <w:pBdr/>
      <w:spacing/>
      <w:ind/>
    </w:pPr>
    <w:rPr>
      <w:sz w:val="24"/>
      <w:szCs w:val="24"/>
    </w:rPr>
  </w:style>
  <w:style w:type="paragraph" w:styleId="38">
    <w:name w:val="Quote"/>
    <w:basedOn w:val="709"/>
    <w:next w:val="709"/>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09"/>
    <w:next w:val="709"/>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15"/>
    <w:link w:val="721"/>
    <w:uiPriority w:val="99"/>
    <w:pPr>
      <w:pBdr/>
      <w:spacing/>
      <w:ind/>
    </w:pPr>
  </w:style>
  <w:style w:type="character" w:styleId="45">
    <w:name w:val="Footer Char"/>
    <w:basedOn w:val="715"/>
    <w:link w:val="720"/>
    <w:uiPriority w:val="99"/>
    <w:pPr>
      <w:pBdr/>
      <w:spacing/>
      <w:ind/>
    </w:pPr>
  </w:style>
  <w:style w:type="paragraph" w:styleId="46">
    <w:name w:val="Caption"/>
    <w:basedOn w:val="709"/>
    <w:next w:val="709"/>
    <w:uiPriority w:val="35"/>
    <w:semiHidden/>
    <w:unhideWhenUsed/>
    <w:qFormat/>
    <w:pPr>
      <w:pBdr/>
      <w:spacing w:line="276" w:lineRule="auto"/>
      <w:ind/>
    </w:pPr>
    <w:rPr>
      <w:b/>
      <w:bCs/>
      <w:color w:val="4f81bd" w:themeColor="accent1"/>
      <w:sz w:val="18"/>
      <w:szCs w:val="18"/>
    </w:rPr>
  </w:style>
  <w:style w:type="character" w:styleId="47">
    <w:name w:val="Caption Char"/>
    <w:basedOn w:val="46"/>
    <w:link w:val="720"/>
    <w:uiPriority w:val="99"/>
    <w:pPr>
      <w:pBdr/>
      <w:spacing/>
      <w:ind/>
    </w:pPr>
  </w:style>
  <w:style w:type="table" w:styleId="49">
    <w:name w:val="Table Grid Light"/>
    <w:basedOn w:val="7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1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1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3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1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1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be4f4"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681cf"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1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1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f3b802"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1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1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1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3f4" w:themeFill="accent1" w:themeFillTint="34"/>
    </w:tblPr>
    <w:tcPr>
      <w:tcBorders/>
    </w:tcPr>
    <w:tblStylePr w:type="band1Horz">
      <w:pPr>
        <w:pBdr/>
        <w:spacing/>
        <w:ind/>
      </w:pPr>
      <w:tblPr>
        <w:tblBorders/>
      </w:tblPr>
      <w:tcPr>
        <w:shd w:val="clear" w:color="ffffff" w:themeColor="accent1" w:themeTint="75" w:fill="aac0e7" w:themeFill="accent1" w:themeFillTint="75"/>
        <w:tcBorders/>
      </w:tcPr>
    </w:tblStylePr>
    <w:tblStylePr w:type="band1Vert">
      <w:pPr>
        <w:pBdr/>
        <w:spacing/>
        <w:ind/>
      </w:pPr>
      <w:tblPr>
        <w:tblBorders/>
      </w:tblPr>
      <w:tcPr>
        <w:shd w:val="clear" w:color="ffffff" w:themeColor="accent1" w:themeTint="75" w:fill="aac0e7"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874cb" w:themeFill="accent1"/>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rFonts w:ascii="Arial" w:hAnsi="Arial"/>
        <w:b/>
        <w:color w:val="ffffff"/>
        <w:sz w:val="22"/>
      </w:rPr>
      <w:pPr>
        <w:pBdr/>
        <w:spacing/>
        <w:ind/>
      </w:pPr>
      <w:tblPr>
        <w:tblBorders/>
      </w:tblPr>
      <w:tcPr>
        <w:shd w:val="clear" w:color="ffffff" w:themeColor="accent1" w:fill="4874cb" w:themeFill="accent1"/>
        <w:tcBorders/>
      </w:tcPr>
    </w:tblStylePr>
    <w:tblStylePr w:type="lastRow">
      <w:rPr>
        <w:rFonts w:ascii="Arial" w:hAnsi="Arial"/>
        <w:b/>
        <w:color w:val="ffffff"/>
        <w:sz w:val="22"/>
      </w:rPr>
      <w:pPr>
        <w:pBdr/>
        <w:spacing/>
        <w:ind/>
      </w:pPr>
      <w:tblPr>
        <w:tblBorders/>
      </w:tblPr>
      <w:tcPr>
        <w:shd w:val="clear" w:color="ffffff" w:themeColor="accent1" w:fill="4874cb"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6" w:themeFill="accent2" w:themeFillTint="32"/>
    </w:tblPr>
    <w:tcPr>
      <w:tcBorders/>
    </w:tcPr>
    <w:tblStylePr w:type="band1Horz">
      <w:pPr>
        <w:pBdr/>
        <w:spacing/>
        <w:ind/>
      </w:pPr>
      <w:tblPr>
        <w:tblBorders/>
      </w:tblPr>
      <w:tcPr>
        <w:shd w:val="clear" w:color="ffffff" w:themeColor="accent2" w:themeTint="75" w:fill="f7c49e" w:themeFill="accent2" w:themeFillTint="75"/>
        <w:tcBorders/>
      </w:tcPr>
    </w:tblStylePr>
    <w:tblStylePr w:type="band1Vert">
      <w:pPr>
        <w:pBdr/>
        <w:spacing/>
        <w:ind/>
      </w:pPr>
      <w:tblPr>
        <w:tblBorders/>
      </w:tblPr>
      <w:tcPr>
        <w:shd w:val="clear" w:color="ffffff" w:themeColor="accent2" w:themeTint="75" w:fill="f7c49e"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e822f" w:themeFill="accent2"/>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rFonts w:ascii="Arial" w:hAnsi="Arial"/>
        <w:b/>
        <w:color w:val="ffffff"/>
        <w:sz w:val="22"/>
      </w:rPr>
      <w:pPr>
        <w:pBdr/>
        <w:spacing/>
        <w:ind/>
      </w:pPr>
      <w:tblPr>
        <w:tblBorders/>
      </w:tblPr>
      <w:tcPr>
        <w:shd w:val="clear" w:color="ffffff" w:themeColor="accent2" w:fill="ee822f" w:themeFill="accent2"/>
        <w:tcBorders/>
      </w:tcPr>
    </w:tblStylePr>
    <w:tblStylePr w:type="lastRow">
      <w:rPr>
        <w:rFonts w:ascii="Arial" w:hAnsi="Arial"/>
        <w:b/>
        <w:color w:val="ffffff"/>
        <w:sz w:val="22"/>
      </w:rPr>
      <w:pPr>
        <w:pBdr/>
        <w:spacing/>
        <w:ind/>
      </w:pPr>
      <w:tblPr>
        <w:tblBorders/>
      </w:tblPr>
      <w:tcPr>
        <w:shd w:val="clear" w:color="ffffff" w:themeColor="accent2" w:fill="ee822f"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fef1c9" w:themeFill="accent3" w:themeFillTint="34"/>
    </w:tblPr>
    <w:tcPr>
      <w:tcBorders/>
    </w:tcPr>
    <w:tblStylePr w:type="band1Horz">
      <w:pPr>
        <w:pBdr/>
        <w:spacing/>
        <w:ind/>
      </w:pPr>
      <w:tblPr>
        <w:tblBorders/>
      </w:tblPr>
      <w:tcPr>
        <w:shd w:val="clear" w:color="ffffff" w:themeColor="accent3" w:themeTint="75" w:fill="fde086" w:themeFill="accent3" w:themeFillTint="75"/>
        <w:tcBorders/>
      </w:tcPr>
    </w:tblStylePr>
    <w:tblStylePr w:type="band1Vert">
      <w:pPr>
        <w:pBdr/>
        <w:spacing/>
        <w:ind/>
      </w:pPr>
      <w:tblPr>
        <w:tblBorders/>
      </w:tblPr>
      <w:tcPr>
        <w:shd w:val="clear" w:color="ffffff" w:themeColor="accent3" w:themeTint="75" w:fill="fde08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f2ba02" w:themeFill="accent3"/>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rFonts w:ascii="Arial" w:hAnsi="Arial"/>
        <w:b/>
        <w:color w:val="ffffff"/>
        <w:sz w:val="22"/>
      </w:rPr>
      <w:pPr>
        <w:pBdr/>
        <w:spacing/>
        <w:ind/>
      </w:pPr>
      <w:tblPr>
        <w:tblBorders/>
      </w:tblPr>
      <w:tcPr>
        <w:shd w:val="clear" w:color="ffffff" w:themeColor="accent3" w:fill="f2ba02" w:themeFill="accent3"/>
        <w:tcBorders/>
      </w:tcPr>
    </w:tblStylePr>
    <w:tblStylePr w:type="lastRow">
      <w:rPr>
        <w:rFonts w:ascii="Arial" w:hAnsi="Arial"/>
        <w:b/>
        <w:color w:val="ffffff"/>
        <w:sz w:val="22"/>
      </w:rPr>
      <w:pPr>
        <w:pBdr/>
        <w:spacing/>
        <w:ind/>
      </w:pPr>
      <w:tblPr>
        <w:tblBorders/>
      </w:tblPr>
      <w:tcPr>
        <w:shd w:val="clear" w:color="ffffff" w:themeColor="accent3" w:fill="f2ba02"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3f1d8" w:themeFill="accent4" w:themeFillTint="34"/>
    </w:tblPr>
    <w:tcPr>
      <w:tcBorders/>
    </w:tcPr>
    <w:tblStylePr w:type="band1Horz">
      <w:pPr>
        <w:pBdr/>
        <w:spacing/>
        <w:ind/>
      </w:pPr>
      <w:tblPr>
        <w:tblBorders/>
      </w:tblPr>
      <w:tcPr>
        <w:shd w:val="clear" w:color="ffffff" w:themeColor="accent4" w:themeTint="75" w:fill="bfe0a7" w:themeFill="accent4" w:themeFillTint="75"/>
        <w:tcBorders/>
      </w:tcPr>
    </w:tblStylePr>
    <w:tblStylePr w:type="band1Vert">
      <w:pPr>
        <w:pBdr/>
        <w:spacing/>
        <w:ind/>
      </w:pPr>
      <w:tblPr>
        <w:tblBorders/>
      </w:tblPr>
      <w:tcPr>
        <w:shd w:val="clear" w:color="ffffff" w:themeColor="accent4" w:themeTint="75" w:fill="bfe0a7"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75bd42" w:themeFill="accent4"/>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rFonts w:ascii="Arial" w:hAnsi="Arial"/>
        <w:b/>
        <w:color w:val="ffffff"/>
        <w:sz w:val="22"/>
      </w:rPr>
      <w:pPr>
        <w:pBdr/>
        <w:spacing/>
        <w:ind/>
      </w:pPr>
      <w:tblPr>
        <w:tblBorders/>
      </w:tblPr>
      <w:tcPr>
        <w:shd w:val="clear" w:color="ffffff" w:themeColor="accent4" w:fill="75bd42" w:themeFill="accent4"/>
        <w:tcBorders/>
      </w:tcPr>
    </w:tblStylePr>
    <w:tblStylePr w:type="lastRow">
      <w:rPr>
        <w:rFonts w:ascii="Arial" w:hAnsi="Arial"/>
        <w:b/>
        <w:color w:val="ffffff"/>
        <w:sz w:val="22"/>
      </w:rPr>
      <w:pPr>
        <w:pBdr/>
        <w:spacing/>
        <w:ind/>
      </w:pPr>
      <w:tblPr>
        <w:tblBorders/>
      </w:tblPr>
      <w:tcPr>
        <w:shd w:val="clear" w:color="ffffff" w:themeColor="accent4" w:fill="75bd4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2f3f0" w:themeFill="accent5" w:themeFillTint="34"/>
    </w:tblPr>
    <w:tcPr>
      <w:tcBorders/>
    </w:tcPr>
    <w:tblStylePr w:type="band1Horz">
      <w:pPr>
        <w:pBdr/>
        <w:spacing/>
        <w:ind/>
      </w:pPr>
      <w:tblPr>
        <w:tblBorders/>
      </w:tblPr>
      <w:tcPr>
        <w:shd w:val="clear" w:color="ffffff" w:themeColor="accent5" w:themeTint="75" w:fill="9be6de" w:themeFill="accent5" w:themeFillTint="75"/>
        <w:tcBorders/>
      </w:tcPr>
    </w:tblStylePr>
    <w:tblStylePr w:type="band1Vert">
      <w:pPr>
        <w:pBdr/>
        <w:spacing/>
        <w:ind/>
      </w:pPr>
      <w:tblPr>
        <w:tblBorders/>
      </w:tblPr>
      <w:tcPr>
        <w:shd w:val="clear" w:color="ffffff" w:themeColor="accent5" w:themeTint="75" w:fill="9be6de"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30c0b4" w:themeFill="accent5"/>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rFonts w:ascii="Arial" w:hAnsi="Arial"/>
        <w:b/>
        <w:color w:val="ffffff"/>
        <w:sz w:val="22"/>
      </w:rPr>
      <w:pPr>
        <w:pBdr/>
        <w:spacing/>
        <w:ind/>
      </w:pPr>
      <w:tblPr>
        <w:tblBorders/>
      </w:tblPr>
      <w:tcPr>
        <w:shd w:val="clear" w:color="ffffff" w:themeColor="accent5" w:fill="30c0b4" w:themeFill="accent5"/>
        <w:tcBorders/>
      </w:tcPr>
    </w:tblStylePr>
    <w:tblStylePr w:type="lastRow">
      <w:rPr>
        <w:rFonts w:ascii="Arial" w:hAnsi="Arial"/>
        <w:b/>
        <w:color w:val="ffffff"/>
        <w:sz w:val="22"/>
      </w:rPr>
      <w:pPr>
        <w:pBdr/>
        <w:spacing/>
        <w:ind/>
      </w:pPr>
      <w:tblPr>
        <w:tblBorders/>
      </w:tblPr>
      <w:tcPr>
        <w:shd w:val="clear" w:color="ffffff" w:themeColor="accent5" w:fill="30c0b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9dade" w:themeFill="accent6" w:themeFillTint="34"/>
    </w:tblPr>
    <w:tcPr>
      <w:tcBorders/>
    </w:tcPr>
    <w:tblStylePr w:type="band1Horz">
      <w:pPr>
        <w:pBdr/>
        <w:spacing/>
        <w:ind/>
      </w:pPr>
      <w:tblPr>
        <w:tblBorders/>
      </w:tblPr>
      <w:tcPr>
        <w:shd w:val="clear" w:color="ffffff" w:themeColor="accent6" w:themeTint="75" w:fill="f3acb5" w:themeFill="accent6" w:themeFillTint="75"/>
        <w:tcBorders/>
      </w:tcPr>
    </w:tblStylePr>
    <w:tblStylePr w:type="band1Vert">
      <w:pPr>
        <w:pBdr/>
        <w:spacing/>
        <w:ind/>
      </w:pPr>
      <w:tblPr>
        <w:tblBorders/>
      </w:tblPr>
      <w:tcPr>
        <w:shd w:val="clear" w:color="ffffff" w:themeColor="accent6" w:themeTint="75" w:fill="f3acb5"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e54c5e" w:themeFill="accent6"/>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rFonts w:ascii="Arial" w:hAnsi="Arial"/>
        <w:b/>
        <w:color w:val="ffffff"/>
        <w:sz w:val="22"/>
      </w:rPr>
      <w:pPr>
        <w:pBdr/>
        <w:spacing/>
        <w:ind/>
      </w:pPr>
      <w:tblPr>
        <w:tblBorders/>
      </w:tblPr>
      <w:tcPr>
        <w:shd w:val="clear" w:color="ffffff" w:themeColor="accent6" w:fill="e54c5e" w:themeFill="accent6"/>
        <w:tcBorders/>
      </w:tcPr>
    </w:tblStylePr>
    <w:tblStylePr w:type="lastRow">
      <w:rPr>
        <w:rFonts w:ascii="Arial" w:hAnsi="Arial"/>
        <w:b/>
        <w:color w:val="ffffff"/>
        <w:sz w:val="22"/>
      </w:rPr>
      <w:pPr>
        <w:pBdr/>
        <w:spacing/>
        <w:ind/>
      </w:pPr>
      <w:tblPr>
        <w:tblBorders/>
      </w:tblPr>
      <w:tcPr>
        <w:shd w:val="clear" w:color="ffffff" w:themeColor="accent6" w:fill="e54c5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1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1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62b0" w:themeColor="accent1" w:themeTint="80" w:themeShade="95"/>
      </w:rPr>
      <w:pPr>
        <w:pBdr/>
        <w:spacing/>
        <w:ind/>
      </w:pPr>
      <w:tblPr>
        <w:tblBorders/>
      </w:tblPr>
      <w:tcPr>
        <w:tcBorders/>
      </w:tcPr>
    </w:tblStylePr>
    <w:tblStylePr w:type="firstRow">
      <w:rPr>
        <w:b/>
        <w:color w:val="3362b0" w:themeColor="accent1" w:themeTint="80" w:themeShade="95"/>
      </w:rPr>
      <w:pPr>
        <w:pBdr/>
        <w:spacing/>
        <w:ind/>
      </w:pPr>
      <w:tblPr>
        <w:tblBorders/>
      </w:tblPr>
      <w:tcPr>
        <w:tcBorders>
          <w:bottom w:val="single" w:color="000000" w:themeColor="accent1" w:themeTint="80" w:sz="12" w:space="0"/>
        </w:tcBorders>
      </w:tcPr>
    </w:tblStylePr>
    <w:tblStylePr w:type="lastCol">
      <w:rPr>
        <w:b/>
        <w:color w:val="3362b0" w:themeColor="accent1" w:themeTint="80" w:themeShade="95"/>
      </w:rPr>
      <w:pPr>
        <w:pBdr/>
        <w:spacing/>
        <w:ind/>
      </w:pPr>
      <w:tblPr>
        <w:tblBorders/>
      </w:tblPr>
      <w:tcPr>
        <w:tcBorders/>
      </w:tcPr>
    </w:tblStylePr>
    <w:tblStylePr w:type="lastRow">
      <w:rPr>
        <w:b/>
        <w:color w:val="3362b0"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12"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1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c6a01" w:themeColor="accent3" w:themeTint="FE" w:themeShade="95"/>
      </w:rPr>
      <w:pPr>
        <w:pBdr/>
        <w:spacing/>
        <w:ind/>
      </w:pPr>
      <w:tblPr>
        <w:tblBorders/>
      </w:tblPr>
      <w:tcPr>
        <w:tcBorders/>
      </w:tcPr>
    </w:tblStylePr>
    <w:tblStylePr w:type="firstRow">
      <w:rPr>
        <w:b/>
        <w:color w:val="8c6a01" w:themeColor="accent3" w:themeTint="FE" w:themeShade="95"/>
      </w:rPr>
      <w:pPr>
        <w:pBdr/>
        <w:spacing/>
        <w:ind/>
      </w:pPr>
      <w:tblPr>
        <w:tblBorders/>
      </w:tblPr>
      <w:tcPr>
        <w:tcBorders>
          <w:bottom w:val="single" w:color="000000" w:themeColor="accent3" w:themeTint="FE" w:sz="12" w:space="0"/>
        </w:tcBorders>
      </w:tcPr>
    </w:tblStylePr>
    <w:tblStylePr w:type="lastCol">
      <w:rPr>
        <w:b/>
        <w:color w:val="8c6a01" w:themeColor="accent3" w:themeTint="FE" w:themeShade="95"/>
      </w:rPr>
      <w:pPr>
        <w:pBdr/>
        <w:spacing/>
        <w:ind/>
      </w:pPr>
      <w:tblPr>
        <w:tblBorders/>
      </w:tblPr>
      <w:tcPr>
        <w:tcBorders/>
      </w:tcPr>
    </w:tblStylePr>
    <w:tblStylePr w:type="lastRow">
      <w:rPr>
        <w:b/>
        <w:color w:val="8c6a01"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12"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1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5"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1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c7067" w:themeColor="accent5" w:themeShade="95"/>
      </w:rPr>
      <w:pPr>
        <w:pBdr/>
        <w:spacing/>
        <w:ind/>
      </w:pPr>
      <w:tblPr>
        <w:tblBorders/>
      </w:tblPr>
      <w:tcPr>
        <w:tcBorders/>
      </w:tcPr>
    </w:tblStylePr>
    <w:tblStylePr w:type="firstRow">
      <w:rPr>
        <w:b/>
        <w:color w:val="1c7067" w:themeColor="accent5" w:themeShade="95"/>
      </w:rPr>
      <w:pPr>
        <w:pBdr/>
        <w:spacing/>
        <w:ind/>
      </w:pPr>
      <w:tblPr>
        <w:tblBorders/>
      </w:tblPr>
      <w:tcPr>
        <w:tcBorders>
          <w:bottom w:val="single" w:color="000000" w:themeColor="accent6" w:sz="12" w:space="0"/>
        </w:tcBorders>
      </w:tcPr>
    </w:tblStylePr>
    <w:tblStylePr w:type="lastCol">
      <w:rPr>
        <w:b/>
        <w:color w:val="1c7067" w:themeColor="accent5" w:themeShade="95"/>
      </w:rPr>
      <w:pPr>
        <w:pBdr/>
        <w:spacing/>
        <w:ind/>
      </w:pPr>
      <w:tblPr>
        <w:tblBorders/>
      </w:tblPr>
      <w:tcPr>
        <w:tcBorders/>
      </w:tcPr>
    </w:tblStylePr>
    <w:tblStylePr w:type="lastRow">
      <w:rPr>
        <w:b/>
        <w:color w:val="1c706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1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1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362b0" w:themeColor="accent1" w:themeTint="80" w:themeShade="95"/>
        <w:sz w:val="22"/>
      </w:rPr>
      <w:pPr>
        <w:pBdr/>
        <w:spacing/>
        <w:ind/>
      </w:pPr>
      <w:tblPr>
        <w:tblBorders/>
      </w:tblPr>
      <w:tcPr>
        <w:shd w:val="clear" w:color="ffffff" w:themeColor="accent1" w:themeTint="34" w:fill="d9e3f4" w:themeFill="accent1" w:themeFillTint="34"/>
        <w:tcBorders/>
      </w:tcPr>
    </w:tblStylePr>
    <w:tblStylePr w:type="band1Vert">
      <w:pPr>
        <w:pBdr/>
        <w:spacing/>
        <w:ind/>
      </w:pPr>
      <w:tblPr>
        <w:tblBorders/>
      </w:tblPr>
      <w:tcPr>
        <w:shd w:val="clear" w:color="ffffff" w:themeColor="accent1" w:themeTint="34" w:fill="d9e3f4" w:themeFill="accent1" w:themeFillTint="34"/>
        <w:tcBorders/>
      </w:tcPr>
    </w:tblStylePr>
    <w:tblStylePr w:type="band2Horz">
      <w:rPr>
        <w:rFonts w:ascii="Arial" w:hAnsi="Arial"/>
        <w:color w:val="3362b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62b0"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362b0"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362b0"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1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32" w:fill="fbe6d6" w:themeFill="accent2" w:themeFillTint="32"/>
        <w:tcBorders/>
      </w:tcPr>
    </w:tblStylePr>
    <w:tblStylePr w:type="band1Vert">
      <w:pPr>
        <w:pBdr/>
        <w:spacing/>
        <w:ind/>
      </w:pPr>
      <w:tblPr>
        <w:tblBorders/>
      </w:tblPr>
      <w:tcPr>
        <w:shd w:val="clear" w:color="ffffff" w:themeColor="accent2" w:themeTint="32" w:fill="fbe6d6" w:themeFill="accent2" w:themeFillTint="32"/>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1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8c6a01" w:themeColor="accent3" w:themeTint="FE" w:themeShade="95"/>
        <w:sz w:val="22"/>
      </w:rPr>
      <w:pPr>
        <w:pBdr/>
        <w:spacing/>
        <w:ind/>
      </w:pPr>
      <w:tblPr>
        <w:tblBorders/>
      </w:tblPr>
      <w:tcPr>
        <w:shd w:val="clear" w:color="ffffff" w:themeColor="accent3" w:themeTint="34" w:fill="fef1c9" w:themeFill="accent3" w:themeFillTint="34"/>
        <w:tcBorders/>
      </w:tcPr>
    </w:tblStylePr>
    <w:tblStylePr w:type="band1Vert">
      <w:pPr>
        <w:pBdr/>
        <w:spacing/>
        <w:ind/>
      </w:pPr>
      <w:tblPr>
        <w:tblBorders/>
      </w:tblPr>
      <w:tcPr>
        <w:shd w:val="clear" w:color="ffffff" w:themeColor="accent3" w:themeTint="34" w:fill="fef1c9" w:themeFill="accent3" w:themeFillTint="34"/>
        <w:tcBorders/>
      </w:tcPr>
    </w:tblStylePr>
    <w:tblStylePr w:type="band2Horz">
      <w:rPr>
        <w:rFonts w:ascii="Arial" w:hAnsi="Arial"/>
        <w:color w:val="8c6a01"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c6a01"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8c6a01"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8c6a01"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1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34" w:fill="e3f1d8" w:themeFill="accent4" w:themeFillTint="34"/>
        <w:tcBorders/>
      </w:tcPr>
    </w:tblStylePr>
    <w:tblStylePr w:type="band1Vert">
      <w:pPr>
        <w:pBdr/>
        <w:spacing/>
        <w:ind/>
      </w:pPr>
      <w:tblPr>
        <w:tblBorders/>
      </w:tblPr>
      <w:tcPr>
        <w:shd w:val="clear" w:color="ffffff" w:themeColor="accent4" w:themeTint="34" w:fill="e3f1d8" w:themeFill="accent4" w:themeFillTint="34"/>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1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1c7067" w:themeColor="accent5" w:themeShade="95"/>
        <w:sz w:val="22"/>
      </w:rPr>
      <w:pPr>
        <w:pBdr/>
        <w:spacing/>
        <w:ind/>
      </w:pPr>
      <w:tblPr>
        <w:tblBorders/>
      </w:tblPr>
      <w:tcPr>
        <w:shd w:val="clear" w:color="ffffff" w:themeColor="accent5" w:themeTint="34" w:fill="d2f3f0" w:themeFill="accent5" w:themeFillTint="34"/>
        <w:tcBorders/>
      </w:tcPr>
    </w:tblStylePr>
    <w:tblStylePr w:type="band1Vert">
      <w:pPr>
        <w:pBdr/>
        <w:spacing/>
        <w:ind/>
      </w:pPr>
      <w:tblPr>
        <w:tblBorders/>
      </w:tblPr>
      <w:tcPr>
        <w:shd w:val="clear" w:color="ffffff" w:themeColor="accent5" w:themeTint="34" w:fill="d2f3f0" w:themeFill="accent5" w:themeFillTint="34"/>
        <w:tcBorders/>
      </w:tcPr>
    </w:tblStylePr>
    <w:tblStylePr w:type="band2Horz">
      <w:rPr>
        <w:rFonts w:ascii="Arial" w:hAnsi="Arial"/>
        <w:color w:val="1c706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c706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1c706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1c706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1c706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1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9b1626" w:themeColor="accent6" w:themeShade="95"/>
        <w:sz w:val="22"/>
      </w:rPr>
      <w:pPr>
        <w:pBdr/>
        <w:spacing/>
        <w:ind/>
      </w:pPr>
      <w:tblPr>
        <w:tblBorders/>
      </w:tblPr>
      <w:tcPr>
        <w:shd w:val="clear" w:color="ffffff" w:themeColor="accent6" w:themeTint="34" w:fill="f9dade" w:themeFill="accent6" w:themeFillTint="34"/>
        <w:tcBorders/>
      </w:tcPr>
    </w:tblStylePr>
    <w:tblStylePr w:type="band1Vert">
      <w:pPr>
        <w:pBdr/>
        <w:spacing/>
        <w:ind/>
      </w:pPr>
      <w:tblPr>
        <w:tblBorders/>
      </w:tblPr>
      <w:tcPr>
        <w:shd w:val="clear" w:color="ffffff" w:themeColor="accent6" w:themeTint="34" w:fill="f9dade" w:themeFill="accent6" w:themeFillTint="34"/>
        <w:tcBorders/>
      </w:tcPr>
    </w:tblStylePr>
    <w:tblStylePr w:type="band2Horz">
      <w:rPr>
        <w:rFonts w:ascii="Arial" w:hAnsi="Arial"/>
        <w:color w:val="9b1626"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1626"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9b1626"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9b1626"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9b1626"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1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1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1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1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1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1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1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1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383"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1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fdd762"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acd78c"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1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7bded3"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1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ef949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1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1"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874cb"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1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f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e822f"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1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feeebd"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f2ba02"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1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ceec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75bd4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1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8f1ed"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30c0b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1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8d1d6"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e54c5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1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1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874cb" w:themeFill="accent1"/>
    </w:tblPr>
    <w:tcPr>
      <w:tcBorders/>
    </w:tcPr>
    <w:tblStylePr w:type="band1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874cb"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874cb"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874cb"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1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383" w:themeFill="accent2" w:themeFillTint="97"/>
    </w:tblPr>
    <w:tcPr>
      <w:tcBorders/>
    </w:tcPr>
    <w:tblStylePr w:type="band1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383"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383"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383"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1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fdd762" w:themeFill="accent3" w:themeFillTint="98"/>
    </w:tblPr>
    <w:tcPr>
      <w:tcBorders/>
    </w:tcPr>
    <w:tblStylePr w:type="band1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fdd762"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fdd762"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fdd762"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1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acd78c" w:themeFill="accent4" w:themeFillTint="9A"/>
    </w:tblPr>
    <w:tcPr>
      <w:tcBorders/>
    </w:tcPr>
    <w:tblStylePr w:type="band1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acd78c"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acd78c"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acd78c"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1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7bded3" w:themeFill="accent5" w:themeFillTint="9A"/>
    </w:tblPr>
    <w:tcPr>
      <w:tcBorders/>
    </w:tcPr>
    <w:tblStylePr w:type="band1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7bded3"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7bded3"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7bded3"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1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ef949f" w:themeFill="accent6" w:themeFillTint="98"/>
    </w:tblPr>
    <w:tcPr>
      <w:tcBorders/>
    </w:tcPr>
    <w:tblStylePr w:type="band1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ef949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ef949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ef949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1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1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3427c" w:themeColor="accent1" w:themeShade="95"/>
      </w:rPr>
      <w:pPr>
        <w:pBdr/>
        <w:spacing/>
        <w:ind/>
      </w:pPr>
      <w:tblPr>
        <w:tblBorders/>
      </w:tblPr>
      <w:tcPr>
        <w:tcBorders/>
      </w:tcPr>
    </w:tblStylePr>
    <w:tblStylePr w:type="firstRow">
      <w:rPr>
        <w:b/>
        <w:color w:val="23427c" w:themeColor="accent1" w:themeShade="95"/>
      </w:rPr>
      <w:pPr>
        <w:pBdr/>
        <w:spacing/>
        <w:ind/>
      </w:pPr>
      <w:tblPr>
        <w:tblBorders/>
      </w:tblPr>
      <w:tcPr>
        <w:tcBorders>
          <w:bottom w:val="single" w:color="000000" w:themeColor="accent1" w:sz="4" w:space="0"/>
        </w:tcBorders>
      </w:tcPr>
    </w:tblStylePr>
    <w:tblStylePr w:type="lastCol">
      <w:rPr>
        <w:b/>
        <w:color w:val="23427c" w:themeColor="accent1" w:themeShade="95"/>
      </w:rPr>
      <w:pPr>
        <w:pBdr/>
        <w:spacing/>
        <w:ind/>
      </w:pPr>
      <w:tblPr>
        <w:tblBorders/>
      </w:tblPr>
      <w:tcPr>
        <w:tcBorders/>
      </w:tcPr>
    </w:tblStylePr>
    <w:tblStylePr w:type="lastRow">
      <w:rPr>
        <w:b/>
        <w:color w:val="23427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1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85f11" w:themeColor="accent2" w:themeTint="97" w:themeShade="95"/>
      </w:rPr>
      <w:pPr>
        <w:pBdr/>
        <w:spacing/>
        <w:ind/>
      </w:pPr>
      <w:tblPr>
        <w:tblBorders/>
      </w:tblPr>
      <w:tcPr>
        <w:tcBorders/>
      </w:tcPr>
    </w:tblStylePr>
    <w:tblStylePr w:type="firstRow">
      <w:rPr>
        <w:b/>
        <w:color w:val="c85f11" w:themeColor="accent2" w:themeTint="97" w:themeShade="95"/>
      </w:rPr>
      <w:pPr>
        <w:pBdr/>
        <w:spacing/>
        <w:ind/>
      </w:pPr>
      <w:tblPr>
        <w:tblBorders/>
      </w:tblPr>
      <w:tcPr>
        <w:tcBorders>
          <w:bottom w:val="single" w:color="000000" w:themeColor="accent2" w:themeTint="97" w:sz="4" w:space="0"/>
        </w:tcBorders>
      </w:tcPr>
    </w:tblStylePr>
    <w:tblStylePr w:type="lastCol">
      <w:rPr>
        <w:b/>
        <w:color w:val="c85f11" w:themeColor="accent2" w:themeTint="97" w:themeShade="95"/>
      </w:rPr>
      <w:pPr>
        <w:pBdr/>
        <w:spacing/>
        <w:ind/>
      </w:pPr>
      <w:tblPr>
        <w:tblBorders/>
      </w:tblPr>
      <w:tcPr>
        <w:tcBorders/>
      </w:tcPr>
    </w:tblStylePr>
    <w:tblStylePr w:type="lastRow">
      <w:rPr>
        <w:b/>
        <w:color w:val="c85f11"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1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9802" w:themeColor="accent3" w:themeTint="98" w:themeShade="95"/>
      </w:rPr>
      <w:pPr>
        <w:pBdr/>
        <w:spacing/>
        <w:ind/>
      </w:pPr>
      <w:tblPr>
        <w:tblBorders/>
      </w:tblPr>
      <w:tcPr>
        <w:tcBorders/>
      </w:tcPr>
    </w:tblStylePr>
    <w:tblStylePr w:type="firstRow">
      <w:rPr>
        <w:b/>
        <w:color w:val="c99802" w:themeColor="accent3" w:themeTint="98" w:themeShade="95"/>
      </w:rPr>
      <w:pPr>
        <w:pBdr/>
        <w:spacing/>
        <w:ind/>
      </w:pPr>
      <w:tblPr>
        <w:tblBorders/>
      </w:tblPr>
      <w:tcPr>
        <w:tcBorders>
          <w:bottom w:val="single" w:color="000000" w:themeColor="accent3" w:themeTint="98" w:sz="4" w:space="0"/>
        </w:tcBorders>
      </w:tcPr>
    </w:tblStylePr>
    <w:tblStylePr w:type="lastCol">
      <w:rPr>
        <w:b/>
        <w:color w:val="c99802" w:themeColor="accent3" w:themeTint="98" w:themeShade="95"/>
      </w:rPr>
      <w:pPr>
        <w:pBdr/>
        <w:spacing/>
        <w:ind/>
      </w:pPr>
      <w:tblPr>
        <w:tblBorders/>
      </w:tblPr>
      <w:tcPr>
        <w:tcBorders/>
      </w:tcPr>
    </w:tblStylePr>
    <w:tblStylePr w:type="lastRow">
      <w:rPr>
        <w:b/>
        <w:color w:val="c99802"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1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19835" w:themeColor="accent4" w:themeTint="9A" w:themeShade="95"/>
      </w:rPr>
      <w:pPr>
        <w:pBdr/>
        <w:spacing/>
        <w:ind/>
      </w:pPr>
      <w:tblPr>
        <w:tblBorders/>
      </w:tblPr>
      <w:tcPr>
        <w:tcBorders/>
      </w:tcPr>
    </w:tblStylePr>
    <w:tblStylePr w:type="firstRow">
      <w:rPr>
        <w:b/>
        <w:color w:val="619835" w:themeColor="accent4" w:themeTint="9A" w:themeShade="95"/>
      </w:rPr>
      <w:pPr>
        <w:pBdr/>
        <w:spacing/>
        <w:ind/>
      </w:pPr>
      <w:tblPr>
        <w:tblBorders/>
      </w:tblPr>
      <w:tcPr>
        <w:tcBorders>
          <w:bottom w:val="single" w:color="000000" w:themeColor="accent4" w:themeTint="9A" w:sz="4" w:space="0"/>
        </w:tcBorders>
      </w:tcPr>
    </w:tblStylePr>
    <w:tblStylePr w:type="lastCol">
      <w:rPr>
        <w:b/>
        <w:color w:val="619835" w:themeColor="accent4" w:themeTint="9A" w:themeShade="95"/>
      </w:rPr>
      <w:pPr>
        <w:pBdr/>
        <w:spacing/>
        <w:ind/>
      </w:pPr>
      <w:tblPr>
        <w:tblBorders/>
      </w:tblPr>
      <w:tcPr>
        <w:tcBorders/>
      </w:tcPr>
    </w:tblStylePr>
    <w:tblStylePr w:type="lastRow">
      <w:rPr>
        <w:b/>
        <w:color w:val="619835"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1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8a191" w:themeColor="accent5" w:themeTint="9A" w:themeShade="95"/>
      </w:rPr>
      <w:pPr>
        <w:pBdr/>
        <w:spacing/>
        <w:ind/>
      </w:pPr>
      <w:tblPr>
        <w:tblBorders/>
      </w:tblPr>
      <w:tcPr>
        <w:tcBorders/>
      </w:tcPr>
    </w:tblStylePr>
    <w:tblStylePr w:type="firstRow">
      <w:rPr>
        <w:b/>
        <w:color w:val="28a191" w:themeColor="accent5" w:themeTint="9A" w:themeShade="95"/>
      </w:rPr>
      <w:pPr>
        <w:pBdr/>
        <w:spacing/>
        <w:ind/>
      </w:pPr>
      <w:tblPr>
        <w:tblBorders/>
      </w:tblPr>
      <w:tcPr>
        <w:tcBorders>
          <w:bottom w:val="single" w:color="000000" w:themeColor="accent5" w:themeTint="9A" w:sz="4" w:space="0"/>
        </w:tcBorders>
      </w:tcPr>
    </w:tblStylePr>
    <w:tblStylePr w:type="lastCol">
      <w:rPr>
        <w:b/>
        <w:color w:val="28a191" w:themeColor="accent5" w:themeTint="9A" w:themeShade="95"/>
      </w:rPr>
      <w:pPr>
        <w:pBdr/>
        <w:spacing/>
        <w:ind/>
      </w:pPr>
      <w:tblPr>
        <w:tblBorders/>
      </w:tblPr>
      <w:tcPr>
        <w:tcBorders/>
      </w:tcPr>
    </w:tblStylePr>
    <w:tblStylePr w:type="lastRow">
      <w:rPr>
        <w:b/>
        <w:color w:val="28a19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1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41d35" w:themeColor="accent6" w:themeTint="98" w:themeShade="95"/>
      </w:rPr>
      <w:pPr>
        <w:pBdr/>
        <w:spacing/>
        <w:ind/>
      </w:pPr>
      <w:tblPr>
        <w:tblBorders/>
      </w:tblPr>
      <w:tcPr>
        <w:tcBorders/>
      </w:tcPr>
    </w:tblStylePr>
    <w:tblStylePr w:type="firstRow">
      <w:rPr>
        <w:b/>
        <w:color w:val="c41d35" w:themeColor="accent6" w:themeTint="98" w:themeShade="95"/>
      </w:rPr>
      <w:pPr>
        <w:pBdr/>
        <w:spacing/>
        <w:ind/>
      </w:pPr>
      <w:tblPr>
        <w:tblBorders/>
      </w:tblPr>
      <w:tcPr>
        <w:tcBorders>
          <w:bottom w:val="single" w:color="000000" w:themeColor="accent6" w:themeTint="98" w:sz="4" w:space="0"/>
        </w:tcBorders>
      </w:tcPr>
    </w:tblStylePr>
    <w:tblStylePr w:type="lastCol">
      <w:rPr>
        <w:b/>
        <w:color w:val="c41d35" w:themeColor="accent6" w:themeTint="98" w:themeShade="95"/>
      </w:rPr>
      <w:pPr>
        <w:pBdr/>
        <w:spacing/>
        <w:ind/>
      </w:pPr>
      <w:tblPr>
        <w:tblBorders/>
      </w:tblPr>
      <w:tcPr>
        <w:tcBorders/>
      </w:tcPr>
    </w:tblStylePr>
    <w:tblStylePr w:type="lastRow">
      <w:rPr>
        <w:b/>
        <w:color w:val="c41d35"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1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1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3427c" w:themeColor="accent1" w:themeShade="95"/>
        <w:sz w:val="22"/>
      </w:rPr>
      <w:pPr>
        <w:pBdr/>
        <w:spacing/>
        <w:ind/>
      </w:pPr>
      <w:tblPr>
        <w:tblBorders/>
      </w:tblPr>
      <w:tcPr>
        <w:shd w:val="clear" w:color="ffffff" w:themeColor="accent1" w:themeTint="40" w:fill="d0dcf1" w:themeFill="accent1" w:themeFillTint="40"/>
        <w:tcBorders/>
      </w:tcPr>
    </w:tblStylePr>
    <w:tblStylePr w:type="band1Vert">
      <w:pPr>
        <w:pBdr/>
        <w:spacing/>
        <w:ind/>
      </w:pPr>
      <w:tblPr>
        <w:tblBorders/>
      </w:tblPr>
      <w:tcPr>
        <w:shd w:val="clear" w:color="ffffff" w:themeColor="accent1" w:themeTint="40" w:fill="d0dcf1" w:themeFill="accent1" w:themeFillTint="40"/>
        <w:tcBorders/>
      </w:tcPr>
    </w:tblStylePr>
    <w:tblStylePr w:type="band2Horz">
      <w:rPr>
        <w:rFonts w:ascii="Arial" w:hAnsi="Arial"/>
        <w:color w:val="23427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3427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3427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3427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3427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3427c" w:themeColor="accent1" w:themeShade="95"/>
        <w:sz w:val="22"/>
      </w:rPr>
      <w:pPr>
        <w:pBdr/>
        <w:spacing/>
        <w:ind/>
      </w:pPr>
      <w:tblPr>
        <w:tblBorders/>
      </w:tblPr>
      <w:tcPr>
        <w:tcBorders/>
      </w:tcPr>
    </w:tblStylePr>
  </w:style>
  <w:style w:type="table" w:styleId="148">
    <w:name w:val="List Table 7 Colorful - Accent 2"/>
    <w:basedOn w:val="71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85f11" w:themeColor="accent2" w:themeTint="97" w:themeShade="95"/>
        <w:sz w:val="22"/>
      </w:rPr>
      <w:pPr>
        <w:pBdr/>
        <w:spacing/>
        <w:ind/>
      </w:pPr>
      <w:tblPr>
        <w:tblBorders/>
      </w:tblPr>
      <w:tcPr>
        <w:shd w:val="clear" w:color="ffffff" w:themeColor="accent2" w:themeTint="40" w:fill="fadfcb" w:themeFill="accent2" w:themeFillTint="40"/>
        <w:tcBorders/>
      </w:tcPr>
    </w:tblStylePr>
    <w:tblStylePr w:type="band1Vert">
      <w:pPr>
        <w:pBdr/>
        <w:spacing/>
        <w:ind/>
      </w:pPr>
      <w:tblPr>
        <w:tblBorders/>
      </w:tblPr>
      <w:tcPr>
        <w:shd w:val="clear" w:color="ffffff" w:themeColor="accent2" w:themeTint="40" w:fill="fadfcb" w:themeFill="accent2" w:themeFillTint="40"/>
        <w:tcBorders/>
      </w:tcPr>
    </w:tblStylePr>
    <w:tblStylePr w:type="band2Horz">
      <w:rPr>
        <w:rFonts w:ascii="Arial" w:hAnsi="Arial"/>
        <w:color w:val="c85f11"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85f11"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85f11"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85f11"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85f11" w:themeColor="accent2" w:themeTint="97" w:themeShade="95"/>
        <w:sz w:val="22"/>
      </w:rPr>
      <w:pPr>
        <w:pBdr/>
        <w:spacing/>
        <w:ind/>
      </w:pPr>
      <w:tblPr>
        <w:tblBorders/>
      </w:tblPr>
      <w:tcPr>
        <w:tcBorders/>
      </w:tcPr>
    </w:tblStylePr>
  </w:style>
  <w:style w:type="table" w:styleId="149">
    <w:name w:val="List Table 7 Colorful - Accent 3"/>
    <w:basedOn w:val="71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c99802" w:themeColor="accent3" w:themeTint="98" w:themeShade="95"/>
        <w:sz w:val="22"/>
      </w:rPr>
      <w:pPr>
        <w:pBdr/>
        <w:spacing/>
        <w:ind/>
      </w:pPr>
      <w:tblPr>
        <w:tblBorders/>
      </w:tblPr>
      <w:tcPr>
        <w:shd w:val="clear" w:color="ffffff" w:themeColor="accent3" w:themeTint="40" w:fill="feeebd" w:themeFill="accent3" w:themeFillTint="40"/>
        <w:tcBorders/>
      </w:tcPr>
    </w:tblStylePr>
    <w:tblStylePr w:type="band1Vert">
      <w:pPr>
        <w:pBdr/>
        <w:spacing/>
        <w:ind/>
      </w:pPr>
      <w:tblPr>
        <w:tblBorders/>
      </w:tblPr>
      <w:tcPr>
        <w:shd w:val="clear" w:color="ffffff" w:themeColor="accent3" w:themeTint="40" w:fill="feeebd" w:themeFill="accent3" w:themeFillTint="40"/>
        <w:tcBorders/>
      </w:tcPr>
    </w:tblStylePr>
    <w:tblStylePr w:type="band2Horz">
      <w:rPr>
        <w:rFonts w:ascii="Arial" w:hAnsi="Arial"/>
        <w:color w:val="c99802"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9802"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c99802"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c99802"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9802" w:themeColor="accent3" w:themeTint="98" w:themeShade="95"/>
        <w:sz w:val="22"/>
      </w:rPr>
      <w:pPr>
        <w:pBdr/>
        <w:spacing/>
        <w:ind/>
      </w:pPr>
      <w:tblPr>
        <w:tblBorders/>
      </w:tblPr>
      <w:tcPr>
        <w:tcBorders/>
      </w:tcPr>
    </w:tblStylePr>
  </w:style>
  <w:style w:type="table" w:styleId="150">
    <w:name w:val="List Table 7 Colorful - Accent 4"/>
    <w:basedOn w:val="71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19835" w:themeColor="accent4" w:themeTint="9A" w:themeShade="95"/>
        <w:sz w:val="22"/>
      </w:rPr>
      <w:pPr>
        <w:pBdr/>
        <w:spacing/>
        <w:ind/>
      </w:pPr>
      <w:tblPr>
        <w:tblBorders/>
      </w:tblPr>
      <w:tcPr>
        <w:shd w:val="clear" w:color="ffffff" w:themeColor="accent4" w:themeTint="40" w:fill="dceecf" w:themeFill="accent4" w:themeFillTint="40"/>
        <w:tcBorders/>
      </w:tcPr>
    </w:tblStylePr>
    <w:tblStylePr w:type="band1Vert">
      <w:pPr>
        <w:pBdr/>
        <w:spacing/>
        <w:ind/>
      </w:pPr>
      <w:tblPr>
        <w:tblBorders/>
      </w:tblPr>
      <w:tcPr>
        <w:shd w:val="clear" w:color="ffffff" w:themeColor="accent4" w:themeTint="40" w:fill="dceecf" w:themeFill="accent4" w:themeFillTint="40"/>
        <w:tcBorders/>
      </w:tcPr>
    </w:tblStylePr>
    <w:tblStylePr w:type="band2Horz">
      <w:rPr>
        <w:rFonts w:ascii="Arial" w:hAnsi="Arial"/>
        <w:color w:val="61983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19835"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19835"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19835"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19835" w:themeColor="accent4" w:themeTint="9A" w:themeShade="95"/>
        <w:sz w:val="22"/>
      </w:rPr>
      <w:pPr>
        <w:pBdr/>
        <w:spacing/>
        <w:ind/>
      </w:pPr>
      <w:tblPr>
        <w:tblBorders/>
      </w:tblPr>
      <w:tcPr>
        <w:tcBorders/>
      </w:tcPr>
    </w:tblStylePr>
  </w:style>
  <w:style w:type="table" w:styleId="151">
    <w:name w:val="List Table 7 Colorful - Accent 5"/>
    <w:basedOn w:val="71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8a191" w:themeColor="accent5" w:themeTint="9A" w:themeShade="95"/>
        <w:sz w:val="22"/>
      </w:rPr>
      <w:pPr>
        <w:pBdr/>
        <w:spacing/>
        <w:ind/>
      </w:pPr>
      <w:tblPr>
        <w:tblBorders/>
      </w:tblPr>
      <w:tcPr>
        <w:shd w:val="clear" w:color="ffffff" w:themeColor="accent5" w:themeTint="40" w:fill="c8f1ed" w:themeFill="accent5" w:themeFillTint="40"/>
        <w:tcBorders/>
      </w:tcPr>
    </w:tblStylePr>
    <w:tblStylePr w:type="band1Vert">
      <w:pPr>
        <w:pBdr/>
        <w:spacing/>
        <w:ind/>
      </w:pPr>
      <w:tblPr>
        <w:tblBorders/>
      </w:tblPr>
      <w:tcPr>
        <w:shd w:val="clear" w:color="ffffff" w:themeColor="accent5" w:themeTint="40" w:fill="c8f1ed" w:themeFill="accent5" w:themeFillTint="40"/>
        <w:tcBorders/>
      </w:tcPr>
    </w:tblStylePr>
    <w:tblStylePr w:type="band2Horz">
      <w:rPr>
        <w:rFonts w:ascii="Arial" w:hAnsi="Arial"/>
        <w:color w:val="28a19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8a19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8a19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8a19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8a191" w:themeColor="accent5" w:themeTint="9A" w:themeShade="95"/>
        <w:sz w:val="22"/>
      </w:rPr>
      <w:pPr>
        <w:pBdr/>
        <w:spacing/>
        <w:ind/>
      </w:pPr>
      <w:tblPr>
        <w:tblBorders/>
      </w:tblPr>
      <w:tcPr>
        <w:tcBorders/>
      </w:tcPr>
    </w:tblStylePr>
  </w:style>
  <w:style w:type="table" w:styleId="152">
    <w:name w:val="List Table 7 Colorful - Accent 6"/>
    <w:basedOn w:val="71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c41d35" w:themeColor="accent6" w:themeTint="98" w:themeShade="95"/>
        <w:sz w:val="22"/>
      </w:rPr>
      <w:pPr>
        <w:pBdr/>
        <w:spacing/>
        <w:ind/>
      </w:pPr>
      <w:tblPr>
        <w:tblBorders/>
      </w:tblPr>
      <w:tcPr>
        <w:shd w:val="clear" w:color="ffffff" w:themeColor="accent6" w:themeTint="40" w:fill="f8d1d6" w:themeFill="accent6" w:themeFillTint="40"/>
        <w:tcBorders/>
      </w:tcPr>
    </w:tblStylePr>
    <w:tblStylePr w:type="band1Vert">
      <w:pPr>
        <w:pBdr/>
        <w:spacing/>
        <w:ind/>
      </w:pPr>
      <w:tblPr>
        <w:tblBorders/>
      </w:tblPr>
      <w:tcPr>
        <w:shd w:val="clear" w:color="ffffff" w:themeColor="accent6" w:themeTint="40" w:fill="f8d1d6" w:themeFill="accent6" w:themeFillTint="40"/>
        <w:tcBorders/>
      </w:tcPr>
    </w:tblStylePr>
    <w:tblStylePr w:type="band2Horz">
      <w:rPr>
        <w:rFonts w:ascii="Arial" w:hAnsi="Arial"/>
        <w:color w:val="c41d35"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41d35"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c41d35"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c41d35"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41d35" w:themeColor="accent6" w:themeTint="98" w:themeShade="95"/>
        <w:sz w:val="22"/>
      </w:rPr>
      <w:pPr>
        <w:pBdr/>
        <w:spacing/>
        <w:ind/>
      </w:pPr>
      <w:tblPr>
        <w:tblBorders/>
      </w:tblPr>
      <w:tcPr>
        <w:tcBorders/>
      </w:tcPr>
    </w:tblStylePr>
  </w:style>
  <w:style w:type="table" w:styleId="153">
    <w:name w:val="Lined - Accent"/>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1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1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5d3ee"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681cf"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1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383"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1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fef1c9"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f3b802"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1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3f1d8"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acd78c"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1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2f3f0" w:themeFill="accent5" w:themeFillTint="34"/>
        <w:tcBorders/>
      </w:tcPr>
    </w:tblStylePr>
    <w:tblStylePr w:type="firstCol">
      <w:rPr>
        <w:rFonts w:ascii="Arial" w:hAnsi="Arial"/>
        <w:color w:val="f2f2f2"/>
        <w:sz w:val="22"/>
      </w:rPr>
      <w:pPr>
        <w:pBdr/>
        <w:spacing/>
        <w:ind/>
      </w:pPr>
      <w:tblPr>
        <w:tblBorders/>
      </w:tblPr>
      <w:tcPr>
        <w:shd w:val="clear" w:color="ffffff" w:themeColor="accent5" w:fill="30c0b4" w:themeFill="accent5"/>
        <w:tcBorders/>
      </w:tcPr>
    </w:tblStylePr>
    <w:tblStylePr w:type="firstRow">
      <w:rPr>
        <w:rFonts w:ascii="Arial" w:hAnsi="Arial"/>
        <w:color w:val="f2f2f2"/>
        <w:sz w:val="22"/>
      </w:rPr>
      <w:pPr>
        <w:pBdr/>
        <w:spacing/>
        <w:ind/>
      </w:pPr>
      <w:tblPr>
        <w:tblBorders/>
      </w:tblPr>
      <w:tcPr>
        <w:shd w:val="clear" w:color="ffffff" w:themeColor="accent5" w:fill="30c0b4" w:themeFill="accent5"/>
        <w:tcBorders/>
      </w:tcPr>
    </w:tblStylePr>
    <w:tblStylePr w:type="lastCol">
      <w:rPr>
        <w:rFonts w:ascii="Arial" w:hAnsi="Arial"/>
        <w:color w:val="f2f2f2"/>
        <w:sz w:val="22"/>
      </w:rPr>
      <w:pPr>
        <w:pBdr/>
        <w:spacing/>
        <w:ind/>
      </w:pPr>
      <w:tblPr>
        <w:tblBorders/>
      </w:tblPr>
      <w:tcPr>
        <w:shd w:val="clear" w:color="ffffff" w:themeColor="accent5" w:fill="30c0b4" w:themeFill="accent5"/>
        <w:tcBorders/>
      </w:tcPr>
    </w:tblStylePr>
    <w:tblStylePr w:type="lastRow">
      <w:rPr>
        <w:rFonts w:ascii="Arial" w:hAnsi="Arial"/>
        <w:color w:val="f2f2f2"/>
        <w:sz w:val="22"/>
      </w:rPr>
      <w:pPr>
        <w:pBdr/>
        <w:spacing/>
        <w:ind/>
      </w:pPr>
      <w:tblPr>
        <w:tblBorders/>
      </w:tblPr>
      <w:tcPr>
        <w:shd w:val="clear" w:color="ffffff" w:themeColor="accent5" w:fill="30c0b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1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9dade" w:themeFill="accent6" w:themeFillTint="34"/>
        <w:tcBorders/>
      </w:tcPr>
    </w:tblStylePr>
    <w:tblStylePr w:type="firstCol">
      <w:rPr>
        <w:rFonts w:ascii="Arial" w:hAnsi="Arial"/>
        <w:color w:val="f2f2f2"/>
        <w:sz w:val="22"/>
      </w:rPr>
      <w:pPr>
        <w:pBdr/>
        <w:spacing/>
        <w:ind/>
      </w:pPr>
      <w:tblPr>
        <w:tblBorders/>
      </w:tblPr>
      <w:tcPr>
        <w:shd w:val="clear" w:color="ffffff" w:themeColor="accent6" w:fill="e54c5e" w:themeFill="accent6"/>
        <w:tcBorders/>
      </w:tcPr>
    </w:tblStylePr>
    <w:tblStylePr w:type="firstRow">
      <w:rPr>
        <w:rFonts w:ascii="Arial" w:hAnsi="Arial"/>
        <w:color w:val="f2f2f2"/>
        <w:sz w:val="22"/>
      </w:rPr>
      <w:pPr>
        <w:pBdr/>
        <w:spacing/>
        <w:ind/>
      </w:pPr>
      <w:tblPr>
        <w:tblBorders/>
      </w:tblPr>
      <w:tcPr>
        <w:shd w:val="clear" w:color="ffffff" w:themeColor="accent6" w:fill="e54c5e" w:themeFill="accent6"/>
        <w:tcBorders/>
      </w:tcPr>
    </w:tblStylePr>
    <w:tblStylePr w:type="lastCol">
      <w:rPr>
        <w:rFonts w:ascii="Arial" w:hAnsi="Arial"/>
        <w:color w:val="f2f2f2"/>
        <w:sz w:val="22"/>
      </w:rPr>
      <w:pPr>
        <w:pBdr/>
        <w:spacing/>
        <w:ind/>
      </w:pPr>
      <w:tblPr>
        <w:tblBorders/>
      </w:tblPr>
      <w:tcPr>
        <w:shd w:val="clear" w:color="ffffff" w:themeColor="accent6" w:fill="e54c5e" w:themeFill="accent6"/>
        <w:tcBorders/>
      </w:tcPr>
    </w:tblStylePr>
    <w:tblStylePr w:type="lastRow">
      <w:rPr>
        <w:rFonts w:ascii="Arial" w:hAnsi="Arial"/>
        <w:color w:val="f2f2f2"/>
        <w:sz w:val="22"/>
      </w:rPr>
      <w:pPr>
        <w:pBdr/>
        <w:spacing/>
        <w:ind/>
      </w:pPr>
      <w:tblPr>
        <w:tblBorders/>
      </w:tblPr>
      <w:tcPr>
        <w:shd w:val="clear" w:color="ffffff" w:themeColor="accent6" w:fill="e54c5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1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709"/>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15"/>
    <w:uiPriority w:val="99"/>
    <w:unhideWhenUsed/>
    <w:pPr>
      <w:pBdr/>
      <w:spacing/>
      <w:ind/>
    </w:pPr>
    <w:rPr>
      <w:vertAlign w:val="superscript"/>
    </w:rPr>
  </w:style>
  <w:style w:type="paragraph" w:styleId="178">
    <w:name w:val="endnote text"/>
    <w:basedOn w:val="709"/>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15"/>
    <w:uiPriority w:val="99"/>
    <w:semiHidden/>
    <w:unhideWhenUsed/>
    <w:pPr>
      <w:pBdr/>
      <w:spacing/>
      <w:ind/>
    </w:pPr>
    <w:rPr>
      <w:vertAlign w:val="superscript"/>
    </w:rPr>
  </w:style>
  <w:style w:type="paragraph" w:styleId="181">
    <w:name w:val="toc 1"/>
    <w:basedOn w:val="709"/>
    <w:next w:val="709"/>
    <w:uiPriority w:val="39"/>
    <w:unhideWhenUsed/>
    <w:pPr>
      <w:pBdr/>
      <w:spacing w:after="57"/>
      <w:ind w:right="0" w:firstLine="0" w:left="0"/>
    </w:pPr>
  </w:style>
  <w:style w:type="paragraph" w:styleId="182">
    <w:name w:val="toc 2"/>
    <w:basedOn w:val="709"/>
    <w:next w:val="709"/>
    <w:uiPriority w:val="39"/>
    <w:unhideWhenUsed/>
    <w:pPr>
      <w:pBdr/>
      <w:spacing w:after="57"/>
      <w:ind w:right="0" w:firstLine="0" w:left="283"/>
    </w:pPr>
  </w:style>
  <w:style w:type="paragraph" w:styleId="183">
    <w:name w:val="toc 3"/>
    <w:basedOn w:val="709"/>
    <w:next w:val="709"/>
    <w:uiPriority w:val="39"/>
    <w:unhideWhenUsed/>
    <w:pPr>
      <w:pBdr/>
      <w:spacing w:after="57"/>
      <w:ind w:right="0" w:firstLine="0" w:left="567"/>
    </w:pPr>
  </w:style>
  <w:style w:type="paragraph" w:styleId="184">
    <w:name w:val="toc 4"/>
    <w:basedOn w:val="709"/>
    <w:next w:val="709"/>
    <w:uiPriority w:val="39"/>
    <w:unhideWhenUsed/>
    <w:pPr>
      <w:pBdr/>
      <w:spacing w:after="57"/>
      <w:ind w:right="0" w:firstLine="0" w:left="850"/>
    </w:pPr>
  </w:style>
  <w:style w:type="paragraph" w:styleId="185">
    <w:name w:val="toc 5"/>
    <w:basedOn w:val="709"/>
    <w:next w:val="709"/>
    <w:uiPriority w:val="39"/>
    <w:unhideWhenUsed/>
    <w:pPr>
      <w:pBdr/>
      <w:spacing w:after="57"/>
      <w:ind w:right="0" w:firstLine="0" w:left="1134"/>
    </w:pPr>
  </w:style>
  <w:style w:type="paragraph" w:styleId="186">
    <w:name w:val="toc 6"/>
    <w:basedOn w:val="709"/>
    <w:next w:val="709"/>
    <w:uiPriority w:val="39"/>
    <w:unhideWhenUsed/>
    <w:pPr>
      <w:pBdr/>
      <w:spacing w:after="57"/>
      <w:ind w:right="0" w:firstLine="0" w:left="1417"/>
    </w:pPr>
  </w:style>
  <w:style w:type="paragraph" w:styleId="187">
    <w:name w:val="toc 7"/>
    <w:basedOn w:val="709"/>
    <w:next w:val="709"/>
    <w:uiPriority w:val="39"/>
    <w:unhideWhenUsed/>
    <w:pPr>
      <w:pBdr/>
      <w:spacing w:after="57"/>
      <w:ind w:right="0" w:firstLine="0" w:left="1701"/>
    </w:pPr>
  </w:style>
  <w:style w:type="paragraph" w:styleId="188">
    <w:name w:val="toc 8"/>
    <w:basedOn w:val="709"/>
    <w:next w:val="709"/>
    <w:uiPriority w:val="39"/>
    <w:unhideWhenUsed/>
    <w:pPr>
      <w:pBdr/>
      <w:spacing w:after="57"/>
      <w:ind w:right="0" w:firstLine="0" w:left="1984"/>
    </w:pPr>
  </w:style>
  <w:style w:type="paragraph" w:styleId="189">
    <w:name w:val="toc 9"/>
    <w:basedOn w:val="709"/>
    <w:next w:val="709"/>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09"/>
    <w:next w:val="709"/>
    <w:uiPriority w:val="99"/>
    <w:unhideWhenUsed/>
    <w:pPr>
      <w:pBdr/>
      <w:spacing w:after="0" w:afterAutospacing="0"/>
      <w:ind/>
    </w:pPr>
  </w:style>
  <w:style w:type="paragraph" w:styleId="709" w:default="1">
    <w:name w:val="Normal"/>
    <w:uiPriority w:val="0"/>
    <w:qFormat/>
    <w:pPr>
      <w:widowControl w:val="false"/>
      <w:pBdr/>
      <w:spacing w:line="560" w:lineRule="exact"/>
      <w:ind w:firstLine="552" w:left="0"/>
      <w:jc w:val="both"/>
    </w:pPr>
    <w:rPr>
      <w:rFonts w:ascii="Times New Roman" w:hAnsi="Times New Roman" w:eastAsia="仿宋" w:cs="Times New Roman"/>
      <w:sz w:val="32"/>
      <w:szCs w:val="32"/>
      <w:lang w:val="en-US" w:eastAsia="zh-CN" w:bidi="ar-SA"/>
    </w:rPr>
  </w:style>
  <w:style w:type="paragraph" w:styleId="710">
    <w:name w:val="Heading 1"/>
    <w:basedOn w:val="709"/>
    <w:next w:val="709"/>
    <w:uiPriority w:val="0"/>
    <w:qFormat/>
    <w:pPr>
      <w:keepNext w:val="true"/>
      <w:keepLines w:val="true"/>
      <w:pBdr/>
      <w:spacing w:afterAutospacing="0" w:beforeAutospacing="0" w:line="560" w:lineRule="exact"/>
      <w:ind w:firstLine="0"/>
      <w:outlineLvl w:val="0"/>
    </w:pPr>
    <w:rPr>
      <w:rFonts w:eastAsia="黑体"/>
      <w:b/>
    </w:rPr>
  </w:style>
  <w:style w:type="paragraph" w:styleId="711">
    <w:name w:val="Heading 2"/>
    <w:basedOn w:val="709"/>
    <w:next w:val="709"/>
    <w:uiPriority w:val="0"/>
    <w:qFormat/>
    <w:pPr>
      <w:keepNext w:val="true"/>
      <w:keepLines w:val="true"/>
      <w:pBdr/>
      <w:spacing w:afterAutospacing="0" w:beforeAutospacing="0" w:line="560" w:lineRule="exact"/>
      <w:ind w:firstLine="0"/>
      <w:outlineLvl w:val="1"/>
    </w:pPr>
    <w:rPr>
      <w:rFonts w:eastAsia="楷体"/>
      <w:b/>
    </w:rPr>
  </w:style>
  <w:style w:type="paragraph" w:styleId="712">
    <w:name w:val="Heading 3"/>
    <w:basedOn w:val="717"/>
    <w:next w:val="717"/>
    <w:uiPriority w:val="9"/>
    <w:qFormat/>
    <w:pPr>
      <w:keepNext w:val="true"/>
      <w:keepLines w:val="true"/>
      <w:pBdr/>
      <w:spacing w:afterAutospacing="0" w:beforeAutospacing="0" w:line="560" w:lineRule="exact"/>
      <w:ind w:firstLine="0" w:left="0"/>
      <w:outlineLvl w:val="2"/>
    </w:pPr>
    <w:rPr>
      <w:rFonts w:eastAsia="楷体"/>
      <w:b/>
      <w:szCs w:val="32"/>
    </w:rPr>
  </w:style>
  <w:style w:type="paragraph" w:styleId="713">
    <w:name w:val="Heading 4"/>
    <w:basedOn w:val="709"/>
    <w:next w:val="709"/>
    <w:uiPriority w:val="9"/>
    <w:unhideWhenUsed/>
    <w:qFormat/>
    <w:pPr>
      <w:keepNext w:val="true"/>
      <w:keepLines w:val="true"/>
      <w:pBdr/>
      <w:spacing w:afterAutospacing="0" w:beforeAutospacing="0" w:line="560" w:lineRule="exact"/>
      <w:ind w:firstLine="0"/>
      <w:outlineLvl w:val="3"/>
    </w:pPr>
    <w:rPr>
      <w:rFonts w:eastAsia="楷体"/>
      <w:b/>
    </w:rPr>
  </w:style>
  <w:style w:type="paragraph" w:styleId="714">
    <w:name w:val="Heading 5"/>
    <w:basedOn w:val="709"/>
    <w:next w:val="709"/>
    <w:uiPriority w:val="9"/>
    <w:qFormat/>
    <w:pPr>
      <w:keepNext w:val="true"/>
      <w:keepLines w:val="true"/>
      <w:pBdr/>
      <w:spacing w:line="560" w:lineRule="exact"/>
      <w:ind w:firstLine="0"/>
      <w:outlineLvl w:val="4"/>
    </w:pPr>
    <w:rPr>
      <w:rFonts w:eastAsia="楷体"/>
      <w:b/>
      <w:bCs/>
      <w:szCs w:val="32"/>
    </w:rPr>
  </w:style>
  <w:style w:type="character" w:styleId="715" w:default="1">
    <w:name w:val="Default Paragraph Font"/>
    <w:uiPriority w:val="0"/>
    <w:semiHidden/>
    <w:qFormat/>
    <w:pPr>
      <w:pBdr/>
      <w:spacing/>
      <w:ind/>
    </w:pPr>
  </w:style>
  <w:style w:type="table" w:styleId="716"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17" w:customStyle="1">
    <w:name w:val="table of authorities1"/>
    <w:basedOn w:val="709"/>
    <w:next w:val="709"/>
    <w:uiPriority w:val="0"/>
    <w:qFormat/>
    <w:pPr>
      <w:widowControl w:val="true"/>
      <w:pBdr/>
      <w:spacing/>
      <w:ind w:left="200"/>
    </w:pPr>
    <w:rPr>
      <w:szCs w:val="24"/>
    </w:rPr>
  </w:style>
  <w:style w:type="paragraph" w:styleId="718">
    <w:name w:val="annotation text"/>
    <w:basedOn w:val="709"/>
    <w:uiPriority w:val="0"/>
    <w:qFormat/>
    <w:pPr>
      <w:pBdr/>
      <w:spacing w:line="360" w:lineRule="auto"/>
      <w:ind w:firstLine="200"/>
      <w:jc w:val="left"/>
    </w:pPr>
    <w:rPr>
      <w:rFonts w:eastAsia="仿宋_GB2312"/>
      <w:sz w:val="24"/>
    </w:rPr>
  </w:style>
  <w:style w:type="paragraph" w:styleId="719">
    <w:name w:val="Body Text"/>
    <w:basedOn w:val="709"/>
    <w:uiPriority w:val="0"/>
    <w:qFormat/>
    <w:pPr>
      <w:pBdr/>
      <w:spacing w:after="120" w:afterAutospacing="0"/>
      <w:ind/>
    </w:pPr>
  </w:style>
  <w:style w:type="paragraph" w:styleId="720">
    <w:name w:val="Footer"/>
    <w:basedOn w:val="709"/>
    <w:uiPriority w:val="99"/>
    <w:qFormat/>
    <w:pPr>
      <w:pBdr/>
      <w:tabs>
        <w:tab w:val="center" w:leader="none" w:pos="4153"/>
        <w:tab w:val="right" w:leader="none" w:pos="8306"/>
      </w:tabs>
      <w:spacing/>
      <w:ind/>
      <w:jc w:val="left"/>
    </w:pPr>
    <w:rPr>
      <w:rFonts w:ascii="Times New Roman" w:hAnsi="Times New Roman" w:eastAsia="宋体"/>
      <w:sz w:val="28"/>
    </w:rPr>
  </w:style>
  <w:style w:type="paragraph" w:styleId="721">
    <w:name w:val="Header"/>
    <w:basedOn w:val="709"/>
    <w:uiPriority w:val="0"/>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rFonts w:ascii="Times New Roman" w:hAnsi="Times New Roman"/>
      <w:sz w:val="18"/>
    </w:rPr>
  </w:style>
  <w:style w:type="paragraph" w:styleId="722">
    <w:name w:val="Normal (Web)"/>
    <w:basedOn w:val="709"/>
    <w:uiPriority w:val="0"/>
    <w:qFormat/>
    <w:pPr>
      <w:pBdr/>
      <w:spacing/>
      <w:ind/>
    </w:pPr>
    <w:rPr>
      <w:sz w:val="24"/>
    </w:rPr>
  </w:style>
  <w:style w:type="table" w:styleId="723">
    <w:name w:val="Table Grid"/>
    <w:basedOn w:val="716"/>
    <w:uiPriority w:val="0"/>
    <w:qFormat/>
    <w:pPr>
      <w:pBdr/>
      <w:spacing/>
      <w:ind/>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24">
    <w:name w:val="List Paragraph"/>
    <w:basedOn w:val="709"/>
    <w:uiPriority w:val="99"/>
    <w:unhideWhenUsed/>
    <w:qFormat/>
    <w:pPr>
      <w:pBdr/>
      <w:spacing/>
      <w:ind w:firstLine="420"/>
    </w:pPr>
  </w:style>
  <w:style w:type="numbering" w:styleId="11418"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等线 Light"/>
        <a:ea typeface="等线 Light"/>
        <a:cs typeface="Arial"/>
      </a:majorFont>
      <a:minorFont>
        <a:latin typeface="等线"/>
        <a:ea typeface="等线"/>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1</cp:revision>
  <dcterms:created xsi:type="dcterms:W3CDTF">2014-10-29T12:08:00Z</dcterms:created>
  <dcterms:modified xsi:type="dcterms:W3CDTF">2024-10-25T08:39:55Z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3F0583B60F944032A35A07CA80568A1D_12</vt:lpwstr>
  </property>
</Properties>
</file>