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hint="eastAsia" w:ascii="微软雅黑" w:hAnsi="微软雅黑" w:eastAsia="微软雅黑" w:cs="宋体"/>
          <w:color w:val="555555"/>
          <w:kern w:val="0"/>
          <w:sz w:val="38"/>
          <w:szCs w:val="38"/>
        </w:rPr>
      </w:pPr>
    </w:p>
    <w:p>
      <w:pPr>
        <w:widowControl/>
        <w:shd w:val="clear" w:color="auto" w:fill="FFFFFF"/>
        <w:spacing w:line="600" w:lineRule="atLeast"/>
        <w:jc w:val="center"/>
        <w:rPr>
          <w:rFonts w:ascii="宋体" w:hAnsi="宋体" w:eastAsia="宋体" w:cs="宋体"/>
          <w:color w:val="555555"/>
          <w:kern w:val="0"/>
          <w:sz w:val="24"/>
          <w:szCs w:val="24"/>
        </w:rPr>
      </w:pPr>
      <w:r>
        <w:rPr>
          <w:rFonts w:hint="eastAsia" w:ascii="微软雅黑" w:hAnsi="微软雅黑" w:eastAsia="微软雅黑" w:cs="宋体"/>
          <w:color w:val="555555"/>
          <w:kern w:val="0"/>
          <w:sz w:val="38"/>
          <w:szCs w:val="38"/>
        </w:rPr>
        <w:t>随州市道路运输管理局20</w:t>
      </w:r>
      <w:r>
        <w:rPr>
          <w:rFonts w:hint="eastAsia" w:ascii="微软雅黑" w:hAnsi="微软雅黑" w:eastAsia="微软雅黑" w:cs="宋体"/>
          <w:color w:val="555555"/>
          <w:kern w:val="0"/>
          <w:sz w:val="38"/>
          <w:szCs w:val="38"/>
          <w:lang w:val="en-US" w:eastAsia="zh-CN"/>
        </w:rPr>
        <w:t>21</w:t>
      </w:r>
      <w:r>
        <w:rPr>
          <w:rFonts w:hint="eastAsia" w:ascii="微软雅黑" w:hAnsi="微软雅黑" w:eastAsia="微软雅黑" w:cs="宋体"/>
          <w:color w:val="555555"/>
          <w:kern w:val="0"/>
          <w:sz w:val="38"/>
          <w:szCs w:val="38"/>
        </w:rPr>
        <w:t>年部门预算公开</w:t>
      </w:r>
    </w:p>
    <w:p>
      <w:pPr>
        <w:widowControl/>
        <w:shd w:val="clear" w:color="auto" w:fill="FFFFFF"/>
        <w:spacing w:line="378" w:lineRule="atLeast"/>
        <w:ind w:firstLine="1200" w:firstLineChars="500"/>
        <w:rPr>
          <w:rFonts w:ascii="宋体" w:hAnsi="宋体" w:eastAsia="宋体" w:cs="宋体"/>
          <w:color w:val="555555"/>
          <w:kern w:val="0"/>
          <w:sz w:val="24"/>
          <w:szCs w:val="24"/>
        </w:rPr>
      </w:pPr>
      <w:r>
        <w:rPr>
          <w:rFonts w:hint="eastAsia" w:ascii="黑体" w:hAnsi="黑体" w:eastAsia="黑体" w:cs="宋体"/>
          <w:color w:val="555555"/>
          <w:kern w:val="0"/>
          <w:sz w:val="24"/>
          <w:szCs w:val="24"/>
        </w:rPr>
        <w:t xml:space="preserve"> </w:t>
      </w:r>
      <w:r>
        <w:rPr>
          <w:rFonts w:hint="eastAsia" w:ascii="黑体" w:hAnsi="黑体" w:eastAsia="黑体" w:cs="宋体"/>
          <w:color w:val="555555"/>
          <w:kern w:val="0"/>
          <w:sz w:val="32"/>
          <w:szCs w:val="32"/>
        </w:rPr>
        <w:t xml:space="preserve"> </w:t>
      </w:r>
      <w:r>
        <w:rPr>
          <w:rFonts w:hint="eastAsia" w:ascii="微软雅黑" w:hAnsi="微软雅黑" w:eastAsia="微软雅黑" w:cs="宋体"/>
          <w:color w:val="555555"/>
          <w:kern w:val="0"/>
          <w:szCs w:val="21"/>
        </w:rPr>
        <w:t xml:space="preserve">                                                </w:t>
      </w:r>
    </w:p>
    <w:p>
      <w:pPr>
        <w:widowControl/>
        <w:shd w:val="clear" w:color="auto" w:fill="FFFFFF"/>
        <w:spacing w:line="378" w:lineRule="atLeast"/>
        <w:ind w:firstLine="782"/>
        <w:jc w:val="center"/>
        <w:rPr>
          <w:rFonts w:ascii="宋体" w:hAnsi="宋体" w:eastAsia="宋体" w:cs="宋体"/>
          <w:color w:val="555555"/>
          <w:kern w:val="0"/>
          <w:sz w:val="24"/>
          <w:szCs w:val="24"/>
        </w:rPr>
      </w:pPr>
      <w:r>
        <w:rPr>
          <w:rFonts w:hint="eastAsia" w:ascii="微软雅黑" w:hAnsi="微软雅黑" w:eastAsia="微软雅黑" w:cs="宋体"/>
          <w:color w:val="555555"/>
          <w:kern w:val="0"/>
          <w:szCs w:val="21"/>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3534" w:firstLineChars="1100"/>
        <w:jc w:val="both"/>
        <w:textAlignment w:val="auto"/>
        <w:outlineLvl w:val="9"/>
        <w:rPr>
          <w:rFonts w:hint="eastAsia" w:ascii="仿宋" w:hAnsi="仿宋" w:eastAsia="仿宋" w:cs="仿宋"/>
          <w:b/>
          <w:bCs/>
          <w:color w:val="555555"/>
          <w:kern w:val="0"/>
          <w:sz w:val="32"/>
          <w:szCs w:val="32"/>
        </w:rPr>
      </w:pPr>
      <w:r>
        <w:rPr>
          <w:rFonts w:hint="eastAsia" w:ascii="仿宋" w:hAnsi="仿宋" w:eastAsia="仿宋" w:cs="仿宋"/>
          <w:b/>
          <w:bCs/>
          <w:color w:val="555555"/>
          <w:kern w:val="0"/>
          <w:sz w:val="32"/>
          <w:szCs w:val="32"/>
        </w:rPr>
        <w:t xml:space="preserve">目  </w:t>
      </w:r>
      <w:r>
        <w:rPr>
          <w:rFonts w:hint="eastAsia" w:ascii="仿宋" w:hAnsi="仿宋" w:eastAsia="仿宋" w:cs="仿宋"/>
          <w:b/>
          <w:bCs/>
          <w:color w:val="555555"/>
          <w:kern w:val="0"/>
          <w:sz w:val="32"/>
          <w:szCs w:val="32"/>
          <w:lang w:val="en-US" w:eastAsia="zh-CN"/>
        </w:rPr>
        <w:t xml:space="preserve">  </w:t>
      </w:r>
      <w:r>
        <w:rPr>
          <w:rFonts w:hint="eastAsia" w:ascii="仿宋" w:hAnsi="仿宋" w:eastAsia="仿宋" w:cs="仿宋"/>
          <w:b/>
          <w:bCs/>
          <w:color w:val="555555"/>
          <w:kern w:val="0"/>
          <w:sz w:val="32"/>
          <w:szCs w:val="32"/>
        </w:rPr>
        <w:t>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第一部分 随州市道路运输管理局（概况）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一、部门主要职责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二、部门基本情况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三、部门预算单位构成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第二部分 随州市道路运输管理局20</w:t>
      </w:r>
      <w:r>
        <w:rPr>
          <w:rFonts w:hint="eastAsia" w:ascii="仿宋" w:hAnsi="仿宋" w:eastAsia="仿宋" w:cs="仿宋"/>
          <w:color w:val="555555"/>
          <w:kern w:val="0"/>
          <w:sz w:val="32"/>
          <w:szCs w:val="32"/>
          <w:lang w:val="en-US" w:eastAsia="zh-CN"/>
        </w:rPr>
        <w:t>21</w:t>
      </w:r>
      <w:r>
        <w:rPr>
          <w:rFonts w:hint="eastAsia" w:ascii="仿宋" w:hAnsi="仿宋" w:eastAsia="仿宋" w:cs="仿宋"/>
          <w:color w:val="555555"/>
          <w:kern w:val="0"/>
          <w:sz w:val="32"/>
          <w:szCs w:val="32"/>
        </w:rPr>
        <w:t>年部门预算情况说明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一、20</w:t>
      </w:r>
      <w:r>
        <w:rPr>
          <w:rFonts w:hint="eastAsia" w:ascii="仿宋" w:hAnsi="仿宋" w:eastAsia="仿宋" w:cs="仿宋"/>
          <w:color w:val="555555"/>
          <w:kern w:val="0"/>
          <w:sz w:val="32"/>
          <w:szCs w:val="32"/>
          <w:lang w:val="en-US" w:eastAsia="zh-CN"/>
        </w:rPr>
        <w:t>21</w:t>
      </w:r>
      <w:r>
        <w:rPr>
          <w:rFonts w:hint="eastAsia" w:ascii="仿宋" w:hAnsi="仿宋" w:eastAsia="仿宋" w:cs="仿宋"/>
          <w:color w:val="555555"/>
          <w:kern w:val="0"/>
          <w:sz w:val="32"/>
          <w:szCs w:val="32"/>
        </w:rPr>
        <w:t>年部门预算收支情况说明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二、20</w:t>
      </w:r>
      <w:r>
        <w:rPr>
          <w:rFonts w:hint="eastAsia" w:ascii="仿宋" w:hAnsi="仿宋" w:eastAsia="仿宋" w:cs="仿宋"/>
          <w:color w:val="555555"/>
          <w:kern w:val="0"/>
          <w:sz w:val="32"/>
          <w:szCs w:val="32"/>
          <w:lang w:val="en-US" w:eastAsia="zh-CN"/>
        </w:rPr>
        <w:t>21</w:t>
      </w:r>
      <w:r>
        <w:rPr>
          <w:rFonts w:hint="eastAsia" w:ascii="仿宋" w:hAnsi="仿宋" w:eastAsia="仿宋" w:cs="仿宋"/>
          <w:color w:val="555555"/>
          <w:kern w:val="0"/>
          <w:sz w:val="32"/>
          <w:szCs w:val="32"/>
        </w:rPr>
        <w:t>年“三公”经费预算情况说明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第三部分 随州市道路运输管理局20</w:t>
      </w:r>
      <w:r>
        <w:rPr>
          <w:rFonts w:hint="eastAsia" w:ascii="仿宋" w:hAnsi="仿宋" w:eastAsia="仿宋" w:cs="仿宋"/>
          <w:color w:val="555555"/>
          <w:kern w:val="0"/>
          <w:sz w:val="32"/>
          <w:szCs w:val="32"/>
          <w:lang w:val="en-US" w:eastAsia="zh-CN"/>
        </w:rPr>
        <w:t>21</w:t>
      </w:r>
      <w:r>
        <w:rPr>
          <w:rFonts w:hint="eastAsia" w:ascii="仿宋" w:hAnsi="仿宋" w:eastAsia="仿宋" w:cs="仿宋"/>
          <w:color w:val="555555"/>
          <w:kern w:val="0"/>
          <w:sz w:val="32"/>
          <w:szCs w:val="32"/>
        </w:rPr>
        <w:t>年部门预算表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部门</w:t>
      </w:r>
      <w:r>
        <w:rPr>
          <w:rFonts w:hint="eastAsia" w:ascii="仿宋" w:hAnsi="仿宋" w:eastAsia="仿宋" w:cs="仿宋"/>
          <w:sz w:val="32"/>
          <w:szCs w:val="32"/>
        </w:rPr>
        <w:t>收支预算总表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二、部门收入总表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三、部门支出总表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四、财政拨款收支总表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五、一般公共预算支出表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六、一般公共预算基本支出表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七、一般公共预算“三公”经费支出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八、政府性基金预算支出表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九、财政专项支出预算表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十、政府采购预算表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 xml:space="preserve">第四部分 </w:t>
      </w:r>
      <w:r>
        <w:rPr>
          <w:rFonts w:hint="eastAsia" w:ascii="仿宋" w:hAnsi="仿宋" w:eastAsia="仿宋" w:cs="仿宋"/>
          <w:color w:val="555555"/>
          <w:kern w:val="0"/>
          <w:sz w:val="32"/>
          <w:szCs w:val="32"/>
          <w:lang w:eastAsia="zh-CN"/>
        </w:rPr>
        <w:t>随州市道路运输管理局</w:t>
      </w:r>
      <w:r>
        <w:rPr>
          <w:rFonts w:hint="eastAsia" w:ascii="仿宋" w:hAnsi="仿宋" w:eastAsia="仿宋" w:cs="仿宋"/>
          <w:color w:val="555555"/>
          <w:kern w:val="0"/>
          <w:sz w:val="32"/>
          <w:szCs w:val="32"/>
          <w:lang w:val="en-US" w:eastAsia="zh-CN"/>
        </w:rPr>
        <w:t>2021年预算绩效情况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一、部门整体绩效目标编制情况说明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二、项目绩效目标编制情况说明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第</w:t>
      </w:r>
      <w:r>
        <w:rPr>
          <w:rFonts w:hint="eastAsia" w:ascii="仿宋" w:hAnsi="仿宋" w:eastAsia="仿宋" w:cs="仿宋"/>
          <w:color w:val="555555"/>
          <w:kern w:val="0"/>
          <w:sz w:val="32"/>
          <w:szCs w:val="32"/>
          <w:lang w:eastAsia="zh-CN"/>
        </w:rPr>
        <w:t>五</w:t>
      </w:r>
      <w:r>
        <w:rPr>
          <w:rFonts w:hint="eastAsia" w:ascii="仿宋" w:hAnsi="仿宋" w:eastAsia="仿宋" w:cs="仿宋"/>
          <w:color w:val="555555"/>
          <w:kern w:val="0"/>
          <w:sz w:val="32"/>
          <w:szCs w:val="32"/>
        </w:rPr>
        <w:t>部分 名词解释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color w:val="555555"/>
          <w:kern w:val="0"/>
          <w:sz w:val="32"/>
          <w:szCs w:val="32"/>
        </w:rPr>
      </w:pPr>
    </w:p>
    <w:p>
      <w:pPr>
        <w:keepNext w:val="0"/>
        <w:keepLines w:val="0"/>
        <w:pageBreakBefore w:val="0"/>
        <w:widowControl/>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auto"/>
        <w:ind w:left="0" w:right="0" w:firstLine="643"/>
        <w:jc w:val="both"/>
        <w:rPr>
          <w:rFonts w:hint="eastAsia" w:ascii="仿宋" w:hAnsi="仿宋" w:eastAsia="仿宋" w:cs="仿宋"/>
          <w:b w:val="0"/>
          <w:i w:val="0"/>
          <w:sz w:val="32"/>
          <w:szCs w:val="32"/>
        </w:rPr>
      </w:pPr>
      <w:r>
        <w:rPr>
          <w:rFonts w:hint="eastAsia" w:ascii="宋体" w:hAnsi="宋体" w:eastAsia="宋体" w:cs="宋体"/>
          <w:b/>
          <w:bCs/>
          <w:color w:val="555555"/>
          <w:kern w:val="0"/>
          <w:sz w:val="24"/>
          <w:szCs w:val="24"/>
        </w:rPr>
        <w:t xml:space="preserve"> </w:t>
      </w:r>
      <w:r>
        <w:rPr>
          <w:rFonts w:ascii="宋体" w:hAnsi="宋体" w:eastAsia="宋体" w:cs="宋体"/>
          <w:color w:val="555555"/>
          <w:kern w:val="0"/>
          <w:sz w:val="24"/>
          <w:szCs w:val="24"/>
        </w:rPr>
        <w:br w:type="textWrapping"/>
      </w:r>
      <w:r>
        <w:rPr>
          <w:rFonts w:ascii="宋体" w:hAnsi="宋体" w:eastAsia="宋体" w:cs="宋体"/>
          <w:color w:val="555555"/>
          <w:kern w:val="0"/>
          <w:sz w:val="24"/>
          <w:szCs w:val="24"/>
        </w:rPr>
        <w:t>  </w:t>
      </w:r>
      <w:r>
        <w:rPr>
          <w:rFonts w:hint="eastAsia" w:ascii="宋体" w:hAnsi="宋体" w:eastAsia="宋体" w:cs="宋体"/>
          <w:b/>
          <w:bCs/>
          <w:color w:val="555555"/>
          <w:kern w:val="0"/>
          <w:sz w:val="32"/>
          <w:szCs w:val="32"/>
        </w:rPr>
        <w:t>第一部分</w:t>
      </w:r>
      <w:r>
        <w:rPr>
          <w:rFonts w:hint="eastAsia" w:ascii="宋体" w:hAnsi="宋体" w:eastAsia="宋体" w:cs="宋体"/>
          <w:b/>
          <w:bCs/>
          <w:color w:val="555555"/>
          <w:kern w:val="0"/>
          <w:sz w:val="32"/>
          <w:szCs w:val="32"/>
          <w:lang w:val="en-US" w:eastAsia="zh-CN"/>
        </w:rPr>
        <w:t xml:space="preserve">  </w:t>
      </w:r>
      <w:r>
        <w:rPr>
          <w:rFonts w:hint="eastAsia" w:ascii="宋体" w:hAnsi="宋体" w:eastAsia="宋体" w:cs="宋体"/>
          <w:b/>
          <w:bCs/>
          <w:color w:val="555555"/>
          <w:kern w:val="0"/>
          <w:sz w:val="32"/>
          <w:szCs w:val="32"/>
        </w:rPr>
        <w:t xml:space="preserve"> 随州市道路运输管理局概况</w:t>
      </w:r>
      <w:r>
        <w:rPr>
          <w:rFonts w:ascii="宋体" w:hAnsi="宋体" w:eastAsia="宋体" w:cs="宋体"/>
          <w:color w:val="555555"/>
          <w:kern w:val="0"/>
          <w:sz w:val="32"/>
          <w:szCs w:val="32"/>
        </w:rPr>
        <w:br w:type="textWrapping"/>
      </w:r>
      <w:r>
        <w:rPr>
          <w:rFonts w:ascii="宋体" w:hAnsi="宋体" w:eastAsia="宋体" w:cs="宋体"/>
          <w:color w:val="555555"/>
          <w:kern w:val="0"/>
          <w:sz w:val="24"/>
          <w:szCs w:val="24"/>
        </w:rPr>
        <w:t>       </w:t>
      </w:r>
      <w:r>
        <w:rPr>
          <w:rFonts w:ascii="宋体" w:hAnsi="宋体" w:eastAsia="宋体" w:cs="宋体"/>
          <w:color w:val="555555"/>
          <w:kern w:val="0"/>
          <w:sz w:val="24"/>
          <w:szCs w:val="24"/>
        </w:rPr>
        <w:br w:type="textWrapping"/>
      </w:r>
      <w:r>
        <w:rPr>
          <w:rFonts w:hint="eastAsia" w:ascii="宋体" w:hAnsi="宋体" w:eastAsia="宋体" w:cs="宋体"/>
          <w:color w:val="555555"/>
          <w:kern w:val="0"/>
          <w:sz w:val="24"/>
          <w:szCs w:val="24"/>
          <w:lang w:val="en-US" w:eastAsia="zh-CN"/>
        </w:rPr>
        <w:t xml:space="preserve">    </w:t>
      </w:r>
      <w:r>
        <w:rPr>
          <w:rFonts w:hint="eastAsia" w:ascii="仿宋" w:hAnsi="仿宋" w:eastAsia="仿宋" w:cs="仿宋"/>
          <w:b/>
          <w:bCs/>
          <w:color w:val="555555"/>
          <w:kern w:val="0"/>
          <w:sz w:val="32"/>
          <w:szCs w:val="32"/>
        </w:rPr>
        <w:t>一、部门主要职责</w:t>
      </w:r>
      <w:r>
        <w:rPr>
          <w:rFonts w:hint="eastAsia" w:ascii="仿宋" w:hAnsi="仿宋" w:eastAsia="仿宋" w:cs="仿宋"/>
          <w:b/>
          <w:bCs/>
          <w:color w:val="555555"/>
          <w:kern w:val="0"/>
          <w:sz w:val="32"/>
          <w:szCs w:val="32"/>
        </w:rPr>
        <w:br w:type="textWrapping"/>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  </w:t>
      </w:r>
      <w:r>
        <w:rPr>
          <w:rFonts w:hint="eastAsia" w:ascii="仿宋" w:hAnsi="仿宋" w:eastAsia="仿宋" w:cs="仿宋"/>
          <w:b w:val="0"/>
          <w:i w:val="0"/>
          <w:caps w:val="0"/>
          <w:color w:val="333333"/>
          <w:spacing w:val="0"/>
          <w:sz w:val="32"/>
          <w:szCs w:val="32"/>
          <w:shd w:val="clear" w:color="auto" w:fill="FFFFFF"/>
        </w:rPr>
        <w:t>贯彻执行国家和地方人民政府对道路运输行业的方针、政策、法规，拟订行业发展规划。指导全市各级道路运输管理机构做好各类道路运输业户开业许可及各种道路运输证牌的年度审验工作。负责跨县(市、区)道路旅客运输线路、危险货物运输经营许可审批工作。监督检查全市道路运输及相关业务的经营活动，维护道路运输市场秩序。负责全市道路运输行业各种数据的统计、汇总、上报和分析工作。会同有关部门监督道路运输行业价格执行情况。负责组织客、货运驾驶人员的法律、法规和相关业务知识的培训、考试,审查办理从事危险货物运输人员、车辆维修站点及维修人员的上网资格准入，指导站务管理人员的培训工作。监督下级道路运输管理机构的执法活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b/>
          <w:bCs/>
          <w:color w:val="555555"/>
          <w:kern w:val="0"/>
          <w:sz w:val="32"/>
          <w:szCs w:val="32"/>
        </w:rPr>
      </w:pPr>
      <w:r>
        <w:rPr>
          <w:rFonts w:hint="eastAsia" w:ascii="仿宋" w:hAnsi="仿宋" w:eastAsia="仿宋" w:cs="仿宋"/>
          <w:color w:val="555555"/>
          <w:kern w:val="0"/>
          <w:sz w:val="32"/>
          <w:szCs w:val="32"/>
        </w:rPr>
        <w:br w:type="textWrapping"/>
      </w:r>
      <w:r>
        <w:rPr>
          <w:rFonts w:hint="eastAsia" w:ascii="仿宋" w:hAnsi="仿宋" w:eastAsia="仿宋" w:cs="仿宋"/>
          <w:color w:val="555555"/>
          <w:kern w:val="0"/>
          <w:sz w:val="32"/>
          <w:szCs w:val="32"/>
        </w:rPr>
        <w:t xml:space="preserve">    </w:t>
      </w:r>
      <w:r>
        <w:rPr>
          <w:rFonts w:hint="eastAsia" w:ascii="仿宋" w:hAnsi="仿宋" w:eastAsia="仿宋" w:cs="仿宋"/>
          <w:b/>
          <w:bCs/>
          <w:color w:val="555555"/>
          <w:kern w:val="0"/>
          <w:sz w:val="32"/>
          <w:szCs w:val="32"/>
        </w:rPr>
        <w:t>二、部门基本情况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随州市道路运输管理局隶属市交通运输局，为副处级</w:t>
      </w:r>
      <w:r>
        <w:rPr>
          <w:rFonts w:hint="eastAsia" w:ascii="仿宋" w:hAnsi="仿宋" w:eastAsia="仿宋" w:cs="仿宋"/>
          <w:color w:val="555555"/>
          <w:kern w:val="0"/>
          <w:sz w:val="32"/>
          <w:szCs w:val="32"/>
          <w:lang w:eastAsia="zh-CN"/>
        </w:rPr>
        <w:t>公益一类</w:t>
      </w:r>
      <w:r>
        <w:rPr>
          <w:rFonts w:hint="eastAsia" w:ascii="仿宋" w:hAnsi="仿宋" w:eastAsia="仿宋" w:cs="仿宋"/>
          <w:color w:val="555555"/>
          <w:kern w:val="0"/>
          <w:sz w:val="32"/>
          <w:szCs w:val="32"/>
        </w:rPr>
        <w:t>拨款事业单位，核定编制62人，实有人数7</w:t>
      </w:r>
      <w:r>
        <w:rPr>
          <w:rFonts w:hint="eastAsia" w:ascii="仿宋" w:hAnsi="仿宋" w:eastAsia="仿宋" w:cs="仿宋"/>
          <w:color w:val="555555"/>
          <w:kern w:val="0"/>
          <w:sz w:val="32"/>
          <w:szCs w:val="32"/>
          <w:lang w:val="en-US" w:eastAsia="zh-CN"/>
        </w:rPr>
        <w:t>5</w:t>
      </w:r>
      <w:r>
        <w:rPr>
          <w:rFonts w:hint="eastAsia" w:ascii="仿宋" w:hAnsi="仿宋" w:eastAsia="仿宋" w:cs="仿宋"/>
          <w:color w:val="555555"/>
          <w:kern w:val="0"/>
          <w:sz w:val="32"/>
          <w:szCs w:val="32"/>
        </w:rPr>
        <w:t>人，其中在职</w:t>
      </w:r>
      <w:r>
        <w:rPr>
          <w:rFonts w:hint="eastAsia" w:ascii="仿宋" w:hAnsi="仿宋" w:eastAsia="仿宋" w:cs="仿宋"/>
          <w:color w:val="555555"/>
          <w:kern w:val="0"/>
          <w:sz w:val="32"/>
          <w:szCs w:val="32"/>
          <w:lang w:val="en-US" w:eastAsia="zh-CN"/>
        </w:rPr>
        <w:t>44</w:t>
      </w:r>
      <w:r>
        <w:rPr>
          <w:rFonts w:hint="eastAsia" w:ascii="仿宋" w:hAnsi="仿宋" w:eastAsia="仿宋" w:cs="仿宋"/>
          <w:color w:val="555555"/>
          <w:kern w:val="0"/>
          <w:sz w:val="32"/>
          <w:szCs w:val="32"/>
        </w:rPr>
        <w:t>人，退休</w:t>
      </w:r>
      <w:r>
        <w:rPr>
          <w:rFonts w:hint="eastAsia" w:ascii="仿宋" w:hAnsi="仿宋" w:eastAsia="仿宋" w:cs="仿宋"/>
          <w:color w:val="555555"/>
          <w:kern w:val="0"/>
          <w:sz w:val="32"/>
          <w:szCs w:val="32"/>
          <w:lang w:val="en-US" w:eastAsia="zh-CN"/>
        </w:rPr>
        <w:t>31</w:t>
      </w:r>
      <w:r>
        <w:rPr>
          <w:rFonts w:hint="eastAsia" w:ascii="仿宋" w:hAnsi="仿宋" w:eastAsia="仿宋" w:cs="仿宋"/>
          <w:color w:val="555555"/>
          <w:kern w:val="0"/>
          <w:sz w:val="32"/>
          <w:szCs w:val="32"/>
        </w:rPr>
        <w:t>人。内设机构有办公室、运管科、运输安全科、法制稽查科、维修科、培训科、财务科。下设广水市运管局、随县运管局、曾都运管所。其中曾都运管所为直属所，其收支纳入本部门集中核算。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b/>
          <w:bCs/>
          <w:color w:val="555555"/>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b/>
          <w:bCs w:val="0"/>
          <w:color w:val="555555"/>
          <w:kern w:val="0"/>
          <w:sz w:val="32"/>
          <w:szCs w:val="32"/>
        </w:rPr>
      </w:pPr>
      <w:r>
        <w:rPr>
          <w:rFonts w:hint="eastAsia" w:ascii="仿宋" w:hAnsi="仿宋" w:eastAsia="仿宋" w:cs="仿宋"/>
          <w:b/>
          <w:bCs w:val="0"/>
          <w:color w:val="555555"/>
          <w:kern w:val="0"/>
          <w:sz w:val="32"/>
          <w:szCs w:val="32"/>
        </w:rPr>
        <w:t>三、部门预算单位构成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随州市道路运输管理局预算单位主体为市本级预算。机关与曾都运管所合并预算。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宋体" w:hAnsi="宋体" w:eastAsia="宋体" w:cs="宋体"/>
          <w:color w:val="555555"/>
          <w:kern w:val="0"/>
          <w:sz w:val="32"/>
          <w:szCs w:val="32"/>
        </w:rPr>
      </w:pPr>
      <w:r>
        <w:rPr>
          <w:rFonts w:hint="eastAsia" w:ascii="宋体" w:hAnsi="宋体" w:eastAsia="宋体" w:cs="宋体"/>
          <w:b/>
          <w:bCs/>
          <w:color w:val="555555"/>
          <w:kern w:val="0"/>
          <w:sz w:val="32"/>
          <w:szCs w:val="32"/>
        </w:rPr>
        <w:t>第二部分 随州市道路运输管理局20</w:t>
      </w:r>
      <w:r>
        <w:rPr>
          <w:rFonts w:hint="eastAsia" w:ascii="宋体" w:hAnsi="宋体" w:eastAsia="宋体" w:cs="宋体"/>
          <w:b/>
          <w:bCs/>
          <w:color w:val="555555"/>
          <w:kern w:val="0"/>
          <w:sz w:val="32"/>
          <w:szCs w:val="32"/>
          <w:lang w:val="en-US" w:eastAsia="zh-CN"/>
        </w:rPr>
        <w:t>21</w:t>
      </w:r>
      <w:r>
        <w:rPr>
          <w:rFonts w:hint="eastAsia" w:ascii="宋体" w:hAnsi="宋体" w:eastAsia="宋体" w:cs="宋体"/>
          <w:b/>
          <w:bCs/>
          <w:color w:val="555555"/>
          <w:kern w:val="0"/>
          <w:sz w:val="32"/>
          <w:szCs w:val="32"/>
        </w:rPr>
        <w:t>年部门预算情况说明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b/>
          <w:bCs/>
          <w:color w:val="555555"/>
          <w:kern w:val="0"/>
          <w:sz w:val="32"/>
          <w:szCs w:val="32"/>
        </w:rPr>
      </w:pPr>
      <w:r>
        <w:rPr>
          <w:rFonts w:hint="eastAsia" w:ascii="仿宋" w:hAnsi="仿宋" w:eastAsia="仿宋" w:cs="仿宋"/>
          <w:b/>
          <w:bCs/>
          <w:color w:val="555555"/>
          <w:kern w:val="0"/>
          <w:sz w:val="32"/>
          <w:szCs w:val="32"/>
        </w:rPr>
        <w:t>一、20</w:t>
      </w:r>
      <w:r>
        <w:rPr>
          <w:rFonts w:hint="eastAsia" w:ascii="仿宋" w:hAnsi="仿宋" w:eastAsia="仿宋" w:cs="仿宋"/>
          <w:b/>
          <w:bCs/>
          <w:color w:val="555555"/>
          <w:kern w:val="0"/>
          <w:sz w:val="32"/>
          <w:szCs w:val="32"/>
          <w:lang w:val="en-US" w:eastAsia="zh-CN"/>
        </w:rPr>
        <w:t>20</w:t>
      </w:r>
      <w:r>
        <w:rPr>
          <w:rFonts w:hint="eastAsia" w:ascii="仿宋" w:hAnsi="仿宋" w:eastAsia="仿宋" w:cs="仿宋"/>
          <w:b/>
          <w:bCs/>
          <w:color w:val="555555"/>
          <w:kern w:val="0"/>
          <w:sz w:val="32"/>
          <w:szCs w:val="32"/>
        </w:rPr>
        <w:t>年部门预算收支情况说明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（一）收入预算情况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rPr>
        <w:t xml:space="preserve"> 收入：</w:t>
      </w:r>
      <w:r>
        <w:rPr>
          <w:rFonts w:hint="eastAsia" w:ascii="仿宋" w:hAnsi="仿宋" w:eastAsia="仿宋" w:cs="仿宋"/>
          <w:color w:val="555555"/>
          <w:kern w:val="0"/>
          <w:sz w:val="32"/>
          <w:szCs w:val="32"/>
          <w:lang w:val="en-US" w:eastAsia="zh-CN"/>
        </w:rPr>
        <w:t>1196.3</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其中：经费拨款</w:t>
      </w:r>
      <w:r>
        <w:rPr>
          <w:rFonts w:hint="eastAsia" w:ascii="仿宋" w:hAnsi="仿宋" w:eastAsia="仿宋" w:cs="仿宋"/>
          <w:color w:val="555555"/>
          <w:kern w:val="0"/>
          <w:sz w:val="32"/>
          <w:szCs w:val="32"/>
          <w:lang w:eastAsia="zh-CN"/>
        </w:rPr>
        <w:t>（补助）</w:t>
      </w:r>
      <w:r>
        <w:rPr>
          <w:rFonts w:hint="eastAsia" w:ascii="仿宋" w:hAnsi="仿宋" w:eastAsia="仿宋" w:cs="仿宋"/>
          <w:color w:val="555555"/>
          <w:kern w:val="0"/>
          <w:sz w:val="32"/>
          <w:szCs w:val="32"/>
          <w:lang w:val="en-US" w:eastAsia="zh-CN"/>
        </w:rPr>
        <w:t>427</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纳入预算管理的非税收入</w:t>
      </w:r>
      <w:r>
        <w:rPr>
          <w:rFonts w:hint="eastAsia" w:ascii="仿宋" w:hAnsi="仿宋" w:eastAsia="仿宋" w:cs="仿宋"/>
          <w:color w:val="555555"/>
          <w:kern w:val="0"/>
          <w:sz w:val="32"/>
          <w:szCs w:val="32"/>
          <w:lang w:val="en-US" w:eastAsia="zh-CN"/>
        </w:rPr>
        <w:t>500</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，上</w:t>
      </w:r>
      <w:r>
        <w:rPr>
          <w:rFonts w:hint="eastAsia" w:ascii="仿宋" w:hAnsi="仿宋" w:eastAsia="仿宋" w:cs="仿宋"/>
          <w:color w:val="555555"/>
          <w:kern w:val="0"/>
          <w:sz w:val="32"/>
          <w:szCs w:val="32"/>
        </w:rPr>
        <w:t>级专项转移支付</w:t>
      </w:r>
      <w:r>
        <w:rPr>
          <w:rFonts w:hint="eastAsia" w:ascii="仿宋" w:hAnsi="仿宋" w:eastAsia="仿宋" w:cs="仿宋"/>
          <w:color w:val="555555"/>
          <w:kern w:val="0"/>
          <w:sz w:val="32"/>
          <w:szCs w:val="32"/>
          <w:lang w:val="en-US" w:eastAsia="zh-CN"/>
        </w:rPr>
        <w:t>237</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，上年结转</w:t>
      </w:r>
      <w:r>
        <w:rPr>
          <w:rFonts w:hint="eastAsia" w:ascii="仿宋" w:hAnsi="仿宋" w:eastAsia="仿宋" w:cs="仿宋"/>
          <w:color w:val="555555"/>
          <w:kern w:val="0"/>
          <w:sz w:val="32"/>
          <w:szCs w:val="32"/>
          <w:lang w:val="en-US" w:eastAsia="zh-CN"/>
        </w:rPr>
        <w:t>32.3万元</w:t>
      </w:r>
      <w:r>
        <w:rPr>
          <w:rFonts w:hint="eastAsia" w:ascii="仿宋" w:hAnsi="仿宋" w:eastAsia="仿宋" w:cs="仿宋"/>
          <w:color w:val="555555"/>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eastAsia="zh-CN"/>
        </w:rPr>
        <w:t>预算收入较上年</w:t>
      </w:r>
      <w:r>
        <w:rPr>
          <w:rFonts w:hint="eastAsia" w:ascii="仿宋" w:hAnsi="仿宋" w:eastAsia="仿宋" w:cs="仿宋"/>
          <w:color w:val="555555"/>
          <w:kern w:val="0"/>
          <w:sz w:val="32"/>
          <w:szCs w:val="32"/>
          <w:lang w:val="en-US" w:eastAsia="zh-CN"/>
        </w:rPr>
        <w:t>1079万元增加117.3万元，同比增长10.87%。主要原因为原所属道路运输协会和所属企业脱钩，待审批后可转回的国有资产处置资金收入，以及省级专项转移支付资金237万元较上年增加87万元。</w:t>
      </w:r>
      <w:r>
        <w:rPr>
          <w:rFonts w:hint="eastAsia" w:ascii="仿宋" w:hAnsi="仿宋" w:eastAsia="仿宋" w:cs="仿宋"/>
          <w:color w:val="555555"/>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（二）支出预算情况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rPr>
        <w:t xml:space="preserve"> 支出：</w:t>
      </w:r>
      <w:r>
        <w:rPr>
          <w:rFonts w:hint="eastAsia" w:ascii="仿宋" w:hAnsi="仿宋" w:eastAsia="仿宋" w:cs="仿宋"/>
          <w:color w:val="555555"/>
          <w:kern w:val="0"/>
          <w:sz w:val="32"/>
          <w:szCs w:val="32"/>
          <w:lang w:val="en-US" w:eastAsia="zh-CN"/>
        </w:rPr>
        <w:t>1196.3</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val="en-US" w:eastAsia="zh-CN"/>
        </w:rPr>
        <w:t>1、按</w:t>
      </w:r>
      <w:r>
        <w:rPr>
          <w:rFonts w:hint="eastAsia" w:ascii="仿宋" w:hAnsi="仿宋" w:eastAsia="仿宋" w:cs="仿宋"/>
          <w:color w:val="555555"/>
          <w:kern w:val="0"/>
          <w:sz w:val="32"/>
          <w:szCs w:val="32"/>
          <w:lang w:eastAsia="zh-CN"/>
        </w:rPr>
        <w:t>资金性质划分：一般公共预算基本支出</w:t>
      </w:r>
      <w:r>
        <w:rPr>
          <w:rFonts w:hint="eastAsia" w:ascii="仿宋" w:hAnsi="仿宋" w:eastAsia="仿宋" w:cs="仿宋"/>
          <w:color w:val="555555"/>
          <w:kern w:val="0"/>
          <w:sz w:val="32"/>
          <w:szCs w:val="32"/>
          <w:lang w:val="en-US" w:eastAsia="zh-CN"/>
        </w:rPr>
        <w:t>1056.3万元</w:t>
      </w:r>
      <w:r>
        <w:rPr>
          <w:rFonts w:hint="eastAsia" w:ascii="仿宋" w:hAnsi="仿宋" w:eastAsia="仿宋" w:cs="仿宋"/>
          <w:color w:val="555555"/>
          <w:kern w:val="0"/>
          <w:sz w:val="32"/>
          <w:szCs w:val="32"/>
          <w:lang w:eastAsia="zh-CN"/>
        </w:rPr>
        <w:t>，一般公共预算项目支出</w:t>
      </w:r>
      <w:r>
        <w:rPr>
          <w:rFonts w:hint="eastAsia" w:ascii="仿宋" w:hAnsi="仿宋" w:eastAsia="仿宋" w:cs="仿宋"/>
          <w:color w:val="555555"/>
          <w:kern w:val="0"/>
          <w:sz w:val="32"/>
          <w:szCs w:val="32"/>
          <w:lang w:val="en-US" w:eastAsia="zh-CN"/>
        </w:rPr>
        <w:t>40</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val="en-US" w:eastAsia="zh-CN"/>
        </w:rPr>
        <w:t>2、按功能分类的</w:t>
      </w:r>
      <w:r>
        <w:rPr>
          <w:rFonts w:hint="eastAsia" w:ascii="仿宋" w:hAnsi="仿宋" w:eastAsia="仿宋" w:cs="仿宋"/>
          <w:color w:val="555555"/>
          <w:kern w:val="0"/>
          <w:sz w:val="32"/>
          <w:szCs w:val="32"/>
        </w:rPr>
        <w:t>经济分类</w:t>
      </w:r>
      <w:r>
        <w:rPr>
          <w:rFonts w:hint="eastAsia" w:ascii="仿宋" w:hAnsi="仿宋" w:eastAsia="仿宋" w:cs="仿宋"/>
          <w:color w:val="555555"/>
          <w:kern w:val="0"/>
          <w:sz w:val="32"/>
          <w:szCs w:val="32"/>
          <w:lang w:eastAsia="zh-CN"/>
        </w:rPr>
        <w:t>支出</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社会保障和就业支出支出</w:t>
      </w:r>
      <w:r>
        <w:rPr>
          <w:rFonts w:hint="eastAsia" w:ascii="仿宋" w:hAnsi="仿宋" w:eastAsia="仿宋" w:cs="仿宋"/>
          <w:color w:val="555555"/>
          <w:kern w:val="0"/>
          <w:sz w:val="32"/>
          <w:szCs w:val="32"/>
          <w:lang w:val="en-US" w:eastAsia="zh-CN"/>
        </w:rPr>
        <w:t>76.9万元（其中事业单位离退休15.73万元，机关事业单位基本养老保险费支出61.17万元），卫生健康支出（事业单位医疗）25.74万元，交通运输支出（公路运输管理）1040.18万元，住房保障支出53.48万元（其中住房公积金44.25万元，提租补贴9.23万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预算支出较上年1079万元增加117.3万元，同比增长10.87%。主要原因一是2021年度退休人员增加4人，奖励性工资增加，二是2021年工资政策变动增资部分和补发部分，三是随工资基数增长，奖励性工资增长。</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（三）财政拨款支出情况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eastAsia="zh-CN"/>
        </w:rPr>
        <w:t>一般公共预算基本支出按支出</w:t>
      </w:r>
      <w:r>
        <w:rPr>
          <w:rFonts w:hint="eastAsia" w:ascii="仿宋" w:hAnsi="仿宋" w:eastAsia="仿宋" w:cs="仿宋"/>
          <w:color w:val="555555"/>
          <w:kern w:val="0"/>
          <w:sz w:val="32"/>
          <w:szCs w:val="32"/>
        </w:rPr>
        <w:t>经济分类</w:t>
      </w:r>
      <w:r>
        <w:rPr>
          <w:rFonts w:hint="eastAsia" w:ascii="仿宋" w:hAnsi="仿宋" w:eastAsia="仿宋" w:cs="仿宋"/>
          <w:color w:val="555555"/>
          <w:kern w:val="0"/>
          <w:sz w:val="32"/>
          <w:szCs w:val="32"/>
          <w:lang w:val="en-US" w:eastAsia="zh-CN"/>
        </w:rPr>
        <w:t>1034</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其中：工资福利性支出</w:t>
      </w:r>
      <w:r>
        <w:rPr>
          <w:rFonts w:hint="eastAsia" w:ascii="仿宋" w:hAnsi="仿宋" w:eastAsia="仿宋" w:cs="仿宋"/>
          <w:color w:val="555555"/>
          <w:kern w:val="0"/>
          <w:sz w:val="32"/>
          <w:szCs w:val="32"/>
          <w:lang w:val="en-US" w:eastAsia="zh-CN"/>
        </w:rPr>
        <w:t>941.81</w:t>
      </w:r>
      <w:r>
        <w:rPr>
          <w:rFonts w:hint="eastAsia" w:ascii="仿宋" w:hAnsi="仿宋" w:eastAsia="仿宋" w:cs="仿宋"/>
          <w:color w:val="555555"/>
          <w:kern w:val="0"/>
          <w:sz w:val="32"/>
          <w:szCs w:val="32"/>
        </w:rPr>
        <w:t>万元（主要为在职人员工资福利</w:t>
      </w:r>
      <w:r>
        <w:rPr>
          <w:rFonts w:hint="eastAsia" w:ascii="仿宋" w:hAnsi="仿宋" w:eastAsia="仿宋" w:cs="仿宋"/>
          <w:color w:val="555555"/>
          <w:kern w:val="0"/>
          <w:sz w:val="32"/>
          <w:szCs w:val="32"/>
          <w:lang w:eastAsia="zh-CN"/>
        </w:rPr>
        <w:t>、资金</w:t>
      </w:r>
      <w:r>
        <w:rPr>
          <w:rFonts w:hint="eastAsia" w:ascii="仿宋" w:hAnsi="仿宋" w:eastAsia="仿宋" w:cs="仿宋"/>
          <w:color w:val="555555"/>
          <w:kern w:val="0"/>
          <w:sz w:val="32"/>
          <w:szCs w:val="32"/>
        </w:rPr>
        <w:t>和社保缴费支出）</w:t>
      </w:r>
      <w:r>
        <w:rPr>
          <w:rFonts w:hint="eastAsia" w:ascii="仿宋" w:hAnsi="仿宋" w:eastAsia="仿宋" w:cs="仿宋"/>
          <w:color w:val="555555"/>
          <w:kern w:val="0"/>
          <w:sz w:val="32"/>
          <w:szCs w:val="32"/>
          <w:lang w:eastAsia="zh-CN"/>
        </w:rPr>
        <w:t>，较上年</w:t>
      </w:r>
      <w:r>
        <w:rPr>
          <w:rFonts w:hint="eastAsia" w:ascii="仿宋" w:hAnsi="仿宋" w:eastAsia="仿宋" w:cs="仿宋"/>
          <w:color w:val="555555"/>
          <w:kern w:val="0"/>
          <w:sz w:val="32"/>
          <w:szCs w:val="32"/>
          <w:lang w:val="en-US" w:eastAsia="zh-CN"/>
        </w:rPr>
        <w:t>851.63</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增加</w:t>
      </w:r>
      <w:r>
        <w:rPr>
          <w:rFonts w:hint="eastAsia" w:ascii="仿宋" w:hAnsi="仿宋" w:eastAsia="仿宋" w:cs="仿宋"/>
          <w:color w:val="555555"/>
          <w:kern w:val="0"/>
          <w:sz w:val="32"/>
          <w:szCs w:val="32"/>
          <w:lang w:val="en-US" w:eastAsia="zh-CN"/>
        </w:rPr>
        <w:t>90.18万元，同比增长10.59%，主要原因工资政策变动增资部分和补发部分。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eastAsia="zh-CN"/>
        </w:rPr>
        <w:t>商品和服务支出</w:t>
      </w:r>
      <w:r>
        <w:rPr>
          <w:rFonts w:hint="eastAsia" w:ascii="仿宋" w:hAnsi="仿宋" w:eastAsia="仿宋" w:cs="仿宋"/>
          <w:color w:val="555555"/>
          <w:kern w:val="0"/>
          <w:sz w:val="32"/>
          <w:szCs w:val="32"/>
          <w:lang w:val="en-US" w:eastAsia="zh-CN"/>
        </w:rPr>
        <w:t>166.46万元（主要为办公费、印刷费、水电费、会议费、差旅费、公务车运行维护费等支出），较上年160.84万元增长5.62万元，同比增长3.49%，主要原因是工会经费、福利费等略有增加。</w:t>
      </w:r>
      <w:r>
        <w:rPr>
          <w:rFonts w:hint="eastAsia" w:ascii="仿宋" w:hAnsi="仿宋" w:eastAsia="仿宋" w:cs="仿宋"/>
          <w:color w:val="555555"/>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对个人和家庭的补助支出</w:t>
      </w:r>
      <w:r>
        <w:rPr>
          <w:rFonts w:hint="eastAsia" w:ascii="仿宋" w:hAnsi="仿宋" w:eastAsia="仿宋" w:cs="仿宋"/>
          <w:color w:val="555555"/>
          <w:kern w:val="0"/>
          <w:sz w:val="32"/>
          <w:szCs w:val="32"/>
          <w:lang w:val="en-US" w:eastAsia="zh-CN"/>
        </w:rPr>
        <w:t>15.73</w:t>
      </w:r>
      <w:r>
        <w:rPr>
          <w:rFonts w:hint="eastAsia" w:ascii="仿宋" w:hAnsi="仿宋" w:eastAsia="仿宋" w:cs="仿宋"/>
          <w:color w:val="555555"/>
          <w:kern w:val="0"/>
          <w:sz w:val="32"/>
          <w:szCs w:val="32"/>
        </w:rPr>
        <w:t>万元（主要为退休人员</w:t>
      </w:r>
      <w:r>
        <w:rPr>
          <w:rFonts w:hint="eastAsia" w:ascii="仿宋" w:hAnsi="仿宋" w:eastAsia="仿宋" w:cs="仿宋"/>
          <w:color w:val="555555"/>
          <w:kern w:val="0"/>
          <w:sz w:val="32"/>
          <w:szCs w:val="32"/>
          <w:lang w:eastAsia="zh-CN"/>
        </w:rPr>
        <w:t>医保</w:t>
      </w:r>
      <w:r>
        <w:rPr>
          <w:rFonts w:hint="eastAsia" w:ascii="仿宋" w:hAnsi="仿宋" w:eastAsia="仿宋" w:cs="仿宋"/>
          <w:color w:val="555555"/>
          <w:kern w:val="0"/>
          <w:sz w:val="32"/>
          <w:szCs w:val="32"/>
        </w:rPr>
        <w:t>费）</w:t>
      </w:r>
      <w:r>
        <w:rPr>
          <w:rFonts w:hint="eastAsia" w:ascii="仿宋" w:hAnsi="仿宋" w:eastAsia="仿宋" w:cs="仿宋"/>
          <w:color w:val="555555"/>
          <w:kern w:val="0"/>
          <w:sz w:val="32"/>
          <w:szCs w:val="32"/>
          <w:lang w:eastAsia="zh-CN"/>
        </w:rPr>
        <w:t>，较上年</w:t>
      </w:r>
      <w:r>
        <w:rPr>
          <w:rFonts w:hint="eastAsia" w:ascii="仿宋" w:hAnsi="仿宋" w:eastAsia="仿宋" w:cs="仿宋"/>
          <w:color w:val="555555"/>
          <w:kern w:val="0"/>
          <w:sz w:val="32"/>
          <w:szCs w:val="32"/>
          <w:lang w:val="en-US" w:eastAsia="zh-CN"/>
        </w:rPr>
        <w:t>13.09</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增长</w:t>
      </w:r>
      <w:r>
        <w:rPr>
          <w:rFonts w:hint="eastAsia" w:ascii="仿宋" w:hAnsi="仿宋" w:eastAsia="仿宋" w:cs="仿宋"/>
          <w:color w:val="555555"/>
          <w:kern w:val="0"/>
          <w:sz w:val="32"/>
          <w:szCs w:val="32"/>
          <w:lang w:val="en-US" w:eastAsia="zh-CN"/>
        </w:rPr>
        <w:t>2.64万元，同比增长20.16%。主要原因是增加了四名退休人员。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财政拨款项目支出</w:t>
      </w:r>
      <w:r>
        <w:rPr>
          <w:rFonts w:hint="eastAsia" w:ascii="仿宋" w:hAnsi="仿宋" w:eastAsia="仿宋" w:cs="仿宋"/>
          <w:color w:val="555555"/>
          <w:kern w:val="0"/>
          <w:sz w:val="32"/>
          <w:szCs w:val="32"/>
          <w:lang w:val="en-US" w:eastAsia="zh-CN"/>
        </w:rPr>
        <w:t>40万元，与上年10万元相比减少5万元，主要原因为市级项目之一“道路运输企业主要负责人和安全生产管理人员安全考核”核定减少5万元。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b w:val="0"/>
          <w:i w:val="0"/>
          <w:caps w:val="0"/>
          <w:color w:val="3D3D3D"/>
          <w:spacing w:val="0"/>
          <w:sz w:val="32"/>
          <w:szCs w:val="32"/>
          <w:shd w:val="clear" w:fill="FFFFFF"/>
        </w:rPr>
      </w:pPr>
      <w:r>
        <w:rPr>
          <w:rFonts w:hint="eastAsia" w:ascii="仿宋" w:hAnsi="仿宋" w:eastAsia="仿宋" w:cs="仿宋"/>
          <w:b w:val="0"/>
          <w:i w:val="0"/>
          <w:caps w:val="0"/>
          <w:color w:val="3D3D3D"/>
          <w:spacing w:val="0"/>
          <w:sz w:val="32"/>
          <w:szCs w:val="32"/>
          <w:shd w:val="clear" w:fill="FFFFFF"/>
        </w:rPr>
        <w:t>政府性基金情况</w:t>
      </w:r>
      <w:r>
        <w:rPr>
          <w:rFonts w:hint="eastAsia" w:ascii="仿宋" w:hAnsi="仿宋" w:eastAsia="仿宋" w:cs="仿宋"/>
          <w:b w:val="0"/>
          <w:i w:val="0"/>
          <w:caps w:val="0"/>
          <w:color w:val="3D3D3D"/>
          <w:spacing w:val="0"/>
          <w:sz w:val="32"/>
          <w:szCs w:val="32"/>
          <w:shd w:val="clear" w:fill="FFFFFF"/>
        </w:rPr>
        <w:br w:type="textWrapping"/>
      </w:r>
      <w:r>
        <w:rPr>
          <w:rFonts w:hint="eastAsia" w:ascii="仿宋" w:hAnsi="仿宋" w:eastAsia="仿宋" w:cs="仿宋"/>
          <w:b w:val="0"/>
          <w:i w:val="0"/>
          <w:caps w:val="0"/>
          <w:color w:val="3D3D3D"/>
          <w:spacing w:val="0"/>
          <w:sz w:val="32"/>
          <w:szCs w:val="32"/>
          <w:shd w:val="clear" w:fill="FFFFFF"/>
        </w:rPr>
        <w:t>　　20</w:t>
      </w:r>
      <w:r>
        <w:rPr>
          <w:rFonts w:hint="eastAsia" w:ascii="仿宋" w:hAnsi="仿宋" w:eastAsia="仿宋" w:cs="仿宋"/>
          <w:b w:val="0"/>
          <w:i w:val="0"/>
          <w:caps w:val="0"/>
          <w:color w:val="3D3D3D"/>
          <w:spacing w:val="0"/>
          <w:sz w:val="32"/>
          <w:szCs w:val="32"/>
          <w:shd w:val="clear" w:fill="FFFFFF"/>
          <w:lang w:val="en-US" w:eastAsia="zh-CN"/>
        </w:rPr>
        <w:t>21</w:t>
      </w:r>
      <w:r>
        <w:rPr>
          <w:rFonts w:hint="eastAsia" w:ascii="仿宋" w:hAnsi="仿宋" w:eastAsia="仿宋" w:cs="仿宋"/>
          <w:b w:val="0"/>
          <w:i w:val="0"/>
          <w:caps w:val="0"/>
          <w:color w:val="3D3D3D"/>
          <w:spacing w:val="0"/>
          <w:sz w:val="32"/>
          <w:szCs w:val="32"/>
          <w:shd w:val="clear" w:fill="FFFFFF"/>
        </w:rPr>
        <w:t>年本部门无政府性基金收支</w:t>
      </w:r>
      <w:r>
        <w:rPr>
          <w:rFonts w:hint="eastAsia" w:ascii="仿宋" w:hAnsi="仿宋" w:eastAsia="仿宋" w:cs="仿宋"/>
          <w:b w:val="0"/>
          <w:i w:val="0"/>
          <w:caps w:val="0"/>
          <w:color w:val="3D3D3D"/>
          <w:spacing w:val="0"/>
          <w:sz w:val="32"/>
          <w:szCs w:val="32"/>
          <w:shd w:val="clear" w:fill="FFFFFF"/>
          <w:lang w:eastAsia="zh-CN"/>
        </w:rPr>
        <w:t>，无此项</w:t>
      </w:r>
      <w:r>
        <w:rPr>
          <w:rFonts w:hint="eastAsia" w:ascii="仿宋" w:hAnsi="仿宋" w:eastAsia="仿宋" w:cs="仿宋"/>
          <w:b w:val="0"/>
          <w:i w:val="0"/>
          <w:caps w:val="0"/>
          <w:color w:val="3D3D3D"/>
          <w:spacing w:val="0"/>
          <w:sz w:val="32"/>
          <w:szCs w:val="32"/>
          <w:shd w:val="clear" w:fill="FFFFFF"/>
        </w:rPr>
        <w:t>预算。</w:t>
      </w:r>
      <w:r>
        <w:rPr>
          <w:rFonts w:hint="eastAsia" w:ascii="仿宋" w:hAnsi="仿宋" w:eastAsia="仿宋" w:cs="仿宋"/>
          <w:b w:val="0"/>
          <w:i w:val="0"/>
          <w:caps w:val="0"/>
          <w:color w:val="3D3D3D"/>
          <w:spacing w:val="0"/>
          <w:sz w:val="32"/>
          <w:szCs w:val="32"/>
          <w:shd w:val="clear" w:fill="FFFFFF"/>
        </w:rPr>
        <w:br w:type="textWrapping"/>
      </w:r>
      <w:r>
        <w:rPr>
          <w:rFonts w:hint="eastAsia" w:ascii="仿宋" w:hAnsi="仿宋" w:eastAsia="仿宋" w:cs="仿宋"/>
          <w:b w:val="0"/>
          <w:i w:val="0"/>
          <w:caps w:val="0"/>
          <w:color w:val="3D3D3D"/>
          <w:spacing w:val="0"/>
          <w:sz w:val="32"/>
          <w:szCs w:val="32"/>
          <w:shd w:val="clear" w:fill="FFFFFF"/>
        </w:rPr>
        <w:t>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b w:val="0"/>
          <w:i w:val="0"/>
          <w:caps w:val="0"/>
          <w:color w:val="3D3D3D"/>
          <w:spacing w:val="0"/>
          <w:sz w:val="32"/>
          <w:szCs w:val="32"/>
        </w:rPr>
      </w:pPr>
      <w:r>
        <w:rPr>
          <w:rFonts w:hint="eastAsia" w:ascii="仿宋" w:hAnsi="仿宋" w:eastAsia="仿宋" w:cs="仿宋"/>
          <w:b w:val="0"/>
          <w:i w:val="0"/>
          <w:caps w:val="0"/>
          <w:color w:val="3D3D3D"/>
          <w:spacing w:val="0"/>
          <w:sz w:val="32"/>
          <w:szCs w:val="32"/>
          <w:shd w:val="clear" w:fill="FFFFFF"/>
        </w:rPr>
        <w:t>国有资本经营预算情况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rightChars="0" w:firstLine="640" w:firstLineChars="200"/>
        <w:jc w:val="both"/>
        <w:textAlignment w:val="auto"/>
        <w:outlineLvl w:val="9"/>
        <w:rPr>
          <w:rFonts w:hint="eastAsia" w:ascii="仿宋" w:hAnsi="仿宋" w:eastAsia="仿宋" w:cs="仿宋"/>
          <w:b w:val="0"/>
          <w:i w:val="0"/>
          <w:caps w:val="0"/>
          <w:color w:val="3D3D3D"/>
          <w:spacing w:val="0"/>
          <w:sz w:val="32"/>
          <w:szCs w:val="32"/>
          <w:shd w:val="clear" w:fill="FFFFFF"/>
        </w:rPr>
      </w:pPr>
      <w:r>
        <w:rPr>
          <w:rFonts w:hint="eastAsia" w:ascii="仿宋" w:hAnsi="仿宋" w:eastAsia="仿宋" w:cs="仿宋"/>
          <w:b w:val="0"/>
          <w:i w:val="0"/>
          <w:caps w:val="0"/>
          <w:color w:val="3D3D3D"/>
          <w:spacing w:val="0"/>
          <w:sz w:val="32"/>
          <w:szCs w:val="32"/>
          <w:shd w:val="clear" w:fill="FFFFFF"/>
          <w:lang w:val="en-US" w:eastAsia="zh-CN"/>
        </w:rPr>
        <w:t>2021年本部门</w:t>
      </w:r>
      <w:r>
        <w:rPr>
          <w:rFonts w:hint="eastAsia" w:ascii="仿宋" w:hAnsi="仿宋" w:eastAsia="仿宋" w:cs="仿宋"/>
          <w:b w:val="0"/>
          <w:i w:val="0"/>
          <w:caps w:val="0"/>
          <w:color w:val="3D3D3D"/>
          <w:spacing w:val="0"/>
          <w:sz w:val="32"/>
          <w:szCs w:val="32"/>
          <w:shd w:val="clear" w:fill="FFFFFF"/>
          <w:lang w:eastAsia="zh-CN"/>
        </w:rPr>
        <w:t>无</w:t>
      </w:r>
      <w:r>
        <w:rPr>
          <w:rFonts w:hint="eastAsia" w:ascii="仿宋" w:hAnsi="仿宋" w:eastAsia="仿宋" w:cs="仿宋"/>
          <w:b w:val="0"/>
          <w:i w:val="0"/>
          <w:caps w:val="0"/>
          <w:color w:val="3D3D3D"/>
          <w:spacing w:val="0"/>
          <w:sz w:val="32"/>
          <w:szCs w:val="32"/>
          <w:shd w:val="clear" w:fill="FFFFFF"/>
        </w:rPr>
        <w:t>国有资本经营</w:t>
      </w:r>
      <w:r>
        <w:rPr>
          <w:rFonts w:hint="eastAsia" w:ascii="仿宋" w:hAnsi="仿宋" w:eastAsia="仿宋" w:cs="仿宋"/>
          <w:b w:val="0"/>
          <w:i w:val="0"/>
          <w:caps w:val="0"/>
          <w:color w:val="3D3D3D"/>
          <w:spacing w:val="0"/>
          <w:sz w:val="32"/>
          <w:szCs w:val="32"/>
          <w:shd w:val="clear" w:fill="FFFFFF"/>
          <w:lang w:eastAsia="zh-CN"/>
        </w:rPr>
        <w:t>，无</w:t>
      </w:r>
      <w:r>
        <w:rPr>
          <w:rFonts w:hint="eastAsia" w:ascii="仿宋" w:hAnsi="仿宋" w:eastAsia="仿宋" w:cs="仿宋"/>
          <w:b w:val="0"/>
          <w:i w:val="0"/>
          <w:caps w:val="0"/>
          <w:color w:val="3D3D3D"/>
          <w:spacing w:val="0"/>
          <w:sz w:val="32"/>
          <w:szCs w:val="32"/>
          <w:shd w:val="clear" w:fill="FFFFFF"/>
        </w:rPr>
        <w:t>预算拨款安排的支出。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rightChars="0" w:firstLine="640" w:firstLineChars="200"/>
        <w:jc w:val="both"/>
        <w:textAlignment w:val="auto"/>
        <w:outlineLvl w:val="9"/>
        <w:rPr>
          <w:rFonts w:hint="eastAsia" w:ascii="仿宋" w:hAnsi="仿宋" w:eastAsia="仿宋" w:cs="仿宋"/>
          <w:b w:val="0"/>
          <w:i w:val="0"/>
          <w:caps w:val="0"/>
          <w:color w:val="3D3D3D"/>
          <w:spacing w:val="0"/>
          <w:sz w:val="32"/>
          <w:szCs w:val="32"/>
          <w:shd w:val="clear" w:fill="FFFFFF"/>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六</w:t>
      </w:r>
      <w:r>
        <w:rPr>
          <w:rFonts w:hint="eastAsia" w:ascii="仿宋" w:hAnsi="仿宋" w:eastAsia="仿宋" w:cs="仿宋"/>
          <w:color w:val="555555"/>
          <w:kern w:val="0"/>
          <w:sz w:val="32"/>
          <w:szCs w:val="32"/>
        </w:rPr>
        <w:t>）机关运行经费等重要事项的说明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b w:val="0"/>
          <w:i w:val="0"/>
          <w:caps w:val="0"/>
          <w:color w:val="3D3D3D"/>
          <w:spacing w:val="0"/>
          <w:sz w:val="32"/>
          <w:szCs w:val="32"/>
          <w:shd w:val="clear" w:fill="FFFFFF"/>
        </w:rPr>
        <w:t>20</w:t>
      </w:r>
      <w:r>
        <w:rPr>
          <w:rFonts w:hint="eastAsia" w:ascii="仿宋" w:hAnsi="仿宋" w:eastAsia="仿宋" w:cs="仿宋"/>
          <w:b w:val="0"/>
          <w:i w:val="0"/>
          <w:caps w:val="0"/>
          <w:color w:val="3D3D3D"/>
          <w:spacing w:val="0"/>
          <w:sz w:val="32"/>
          <w:szCs w:val="32"/>
          <w:shd w:val="clear" w:fill="FFFFFF"/>
          <w:lang w:val="en-US" w:eastAsia="zh-CN"/>
        </w:rPr>
        <w:t>21</w:t>
      </w:r>
      <w:r>
        <w:rPr>
          <w:rFonts w:hint="eastAsia" w:ascii="仿宋" w:hAnsi="仿宋" w:eastAsia="仿宋" w:cs="仿宋"/>
          <w:b w:val="0"/>
          <w:i w:val="0"/>
          <w:caps w:val="0"/>
          <w:color w:val="3D3D3D"/>
          <w:spacing w:val="0"/>
          <w:sz w:val="32"/>
          <w:szCs w:val="32"/>
          <w:shd w:val="clear" w:fill="FFFFFF"/>
        </w:rPr>
        <w:t>年</w:t>
      </w:r>
      <w:r>
        <w:rPr>
          <w:rFonts w:hint="eastAsia" w:ascii="仿宋" w:hAnsi="仿宋" w:eastAsia="仿宋" w:cs="仿宋"/>
          <w:b w:val="0"/>
          <w:i w:val="0"/>
          <w:caps w:val="0"/>
          <w:color w:val="3D3D3D"/>
          <w:spacing w:val="0"/>
          <w:sz w:val="32"/>
          <w:szCs w:val="32"/>
          <w:shd w:val="clear" w:fill="FFFFFF"/>
          <w:lang w:eastAsia="zh-CN"/>
        </w:rPr>
        <w:t>本</w:t>
      </w:r>
      <w:r>
        <w:rPr>
          <w:rFonts w:hint="eastAsia" w:ascii="仿宋" w:hAnsi="仿宋" w:eastAsia="仿宋" w:cs="仿宋"/>
          <w:b w:val="0"/>
          <w:i w:val="0"/>
          <w:caps w:val="0"/>
          <w:color w:val="3D3D3D"/>
          <w:spacing w:val="0"/>
          <w:sz w:val="32"/>
          <w:szCs w:val="32"/>
          <w:shd w:val="clear" w:fill="FFFFFF"/>
        </w:rPr>
        <w:t>部门运行经费支出</w:t>
      </w:r>
      <w:r>
        <w:rPr>
          <w:rFonts w:hint="eastAsia" w:ascii="仿宋" w:hAnsi="仿宋" w:eastAsia="仿宋" w:cs="仿宋"/>
          <w:b w:val="0"/>
          <w:i w:val="0"/>
          <w:caps w:val="0"/>
          <w:color w:val="3D3D3D"/>
          <w:spacing w:val="0"/>
          <w:sz w:val="32"/>
          <w:szCs w:val="32"/>
          <w:shd w:val="clear" w:fill="FFFFFF"/>
          <w:lang w:val="en-US" w:eastAsia="zh-CN"/>
        </w:rPr>
        <w:t>166.46</w:t>
      </w:r>
      <w:r>
        <w:rPr>
          <w:rFonts w:hint="eastAsia" w:ascii="仿宋" w:hAnsi="仿宋" w:eastAsia="仿宋" w:cs="仿宋"/>
          <w:b w:val="0"/>
          <w:i w:val="0"/>
          <w:caps w:val="0"/>
          <w:color w:val="3D3D3D"/>
          <w:spacing w:val="0"/>
          <w:sz w:val="32"/>
          <w:szCs w:val="32"/>
          <w:shd w:val="clear" w:fill="FFFFFF"/>
        </w:rPr>
        <w:t>万元</w:t>
      </w:r>
      <w:r>
        <w:rPr>
          <w:rFonts w:hint="eastAsia" w:ascii="仿宋" w:hAnsi="仿宋" w:eastAsia="仿宋" w:cs="仿宋"/>
          <w:b w:val="0"/>
          <w:i w:val="0"/>
          <w:caps w:val="0"/>
          <w:color w:val="3D3D3D"/>
          <w:spacing w:val="0"/>
          <w:sz w:val="32"/>
          <w:szCs w:val="32"/>
          <w:shd w:val="clear" w:fill="FFFFFF"/>
          <w:lang w:val="en-US" w:eastAsia="zh-CN"/>
        </w:rPr>
        <w:t>。其中：</w:t>
      </w:r>
      <w:r>
        <w:rPr>
          <w:rFonts w:hint="eastAsia" w:ascii="仿宋" w:hAnsi="仿宋" w:eastAsia="仿宋" w:cs="仿宋"/>
          <w:color w:val="555555"/>
          <w:kern w:val="0"/>
          <w:sz w:val="32"/>
          <w:szCs w:val="32"/>
        </w:rPr>
        <w:t>办公</w:t>
      </w:r>
      <w:r>
        <w:rPr>
          <w:rFonts w:hint="eastAsia" w:ascii="仿宋" w:hAnsi="仿宋" w:eastAsia="仿宋" w:cs="仿宋"/>
          <w:color w:val="555555"/>
          <w:kern w:val="0"/>
          <w:sz w:val="32"/>
          <w:szCs w:val="32"/>
          <w:lang w:eastAsia="zh-CN"/>
        </w:rPr>
        <w:t>费</w:t>
      </w:r>
      <w:r>
        <w:rPr>
          <w:rFonts w:hint="eastAsia" w:ascii="仿宋" w:hAnsi="仿宋" w:eastAsia="仿宋" w:cs="仿宋"/>
          <w:color w:val="555555"/>
          <w:kern w:val="0"/>
          <w:sz w:val="32"/>
          <w:szCs w:val="32"/>
          <w:lang w:val="en-US" w:eastAsia="zh-CN"/>
        </w:rPr>
        <w:t>12万元、</w:t>
      </w:r>
      <w:r>
        <w:rPr>
          <w:rFonts w:hint="eastAsia" w:ascii="仿宋" w:hAnsi="仿宋" w:eastAsia="仿宋" w:cs="仿宋"/>
          <w:color w:val="555555"/>
          <w:kern w:val="0"/>
          <w:sz w:val="32"/>
          <w:szCs w:val="32"/>
        </w:rPr>
        <w:t>印刷费</w:t>
      </w:r>
      <w:r>
        <w:rPr>
          <w:rFonts w:hint="eastAsia" w:ascii="仿宋" w:hAnsi="仿宋" w:eastAsia="仿宋" w:cs="仿宋"/>
          <w:color w:val="555555"/>
          <w:kern w:val="0"/>
          <w:sz w:val="32"/>
          <w:szCs w:val="32"/>
          <w:lang w:val="en-US" w:eastAsia="zh-CN"/>
        </w:rPr>
        <w:t>5</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水电费</w:t>
      </w:r>
      <w:r>
        <w:rPr>
          <w:rFonts w:hint="eastAsia" w:ascii="仿宋" w:hAnsi="仿宋" w:eastAsia="仿宋" w:cs="仿宋"/>
          <w:color w:val="555555"/>
          <w:kern w:val="0"/>
          <w:sz w:val="32"/>
          <w:szCs w:val="32"/>
          <w:lang w:val="en-US" w:eastAsia="zh-CN"/>
        </w:rPr>
        <w:t>6.1万元、</w:t>
      </w:r>
      <w:r>
        <w:rPr>
          <w:rFonts w:hint="eastAsia" w:ascii="仿宋" w:hAnsi="仿宋" w:eastAsia="仿宋" w:cs="仿宋"/>
          <w:color w:val="555555"/>
          <w:kern w:val="0"/>
          <w:sz w:val="32"/>
          <w:szCs w:val="32"/>
        </w:rPr>
        <w:t>邮电费</w:t>
      </w:r>
      <w:r>
        <w:rPr>
          <w:rFonts w:hint="eastAsia" w:ascii="仿宋" w:hAnsi="仿宋" w:eastAsia="仿宋" w:cs="仿宋"/>
          <w:color w:val="555555"/>
          <w:kern w:val="0"/>
          <w:sz w:val="32"/>
          <w:szCs w:val="32"/>
          <w:lang w:val="en-US" w:eastAsia="zh-CN"/>
        </w:rPr>
        <w:t>11</w:t>
      </w:r>
      <w:r>
        <w:rPr>
          <w:rFonts w:hint="eastAsia" w:ascii="仿宋" w:hAnsi="仿宋" w:eastAsia="仿宋" w:cs="仿宋"/>
          <w:color w:val="555555"/>
          <w:kern w:val="0"/>
          <w:sz w:val="32"/>
          <w:szCs w:val="32"/>
        </w:rPr>
        <w:t>万元、差旅费</w:t>
      </w:r>
      <w:r>
        <w:rPr>
          <w:rFonts w:hint="eastAsia" w:ascii="仿宋" w:hAnsi="仿宋" w:eastAsia="仿宋" w:cs="仿宋"/>
          <w:color w:val="555555"/>
          <w:kern w:val="0"/>
          <w:sz w:val="32"/>
          <w:szCs w:val="32"/>
          <w:lang w:val="en-US" w:eastAsia="zh-CN"/>
        </w:rPr>
        <w:t>20</w:t>
      </w:r>
      <w:r>
        <w:rPr>
          <w:rFonts w:hint="eastAsia" w:ascii="仿宋" w:hAnsi="仿宋" w:eastAsia="仿宋" w:cs="仿宋"/>
          <w:color w:val="555555"/>
          <w:kern w:val="0"/>
          <w:sz w:val="32"/>
          <w:szCs w:val="32"/>
        </w:rPr>
        <w:t>万元、会议费</w:t>
      </w:r>
      <w:r>
        <w:rPr>
          <w:rFonts w:hint="eastAsia" w:ascii="仿宋" w:hAnsi="仿宋" w:eastAsia="仿宋" w:cs="仿宋"/>
          <w:color w:val="555555"/>
          <w:kern w:val="0"/>
          <w:sz w:val="32"/>
          <w:szCs w:val="32"/>
          <w:lang w:val="en-US" w:eastAsia="zh-CN"/>
        </w:rPr>
        <w:t>1.5</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培训费</w:t>
      </w:r>
      <w:r>
        <w:rPr>
          <w:rFonts w:hint="eastAsia" w:ascii="仿宋" w:hAnsi="仿宋" w:eastAsia="仿宋" w:cs="仿宋"/>
          <w:color w:val="555555"/>
          <w:kern w:val="0"/>
          <w:sz w:val="32"/>
          <w:szCs w:val="32"/>
          <w:lang w:val="en-US" w:eastAsia="zh-CN"/>
        </w:rPr>
        <w:t>2.5万元、</w:t>
      </w:r>
      <w:r>
        <w:rPr>
          <w:rFonts w:hint="eastAsia" w:ascii="仿宋" w:hAnsi="仿宋" w:eastAsia="仿宋" w:cs="仿宋"/>
          <w:color w:val="555555"/>
          <w:kern w:val="0"/>
          <w:sz w:val="32"/>
          <w:szCs w:val="32"/>
        </w:rPr>
        <w:t>福利费</w:t>
      </w:r>
      <w:r>
        <w:rPr>
          <w:rFonts w:hint="eastAsia" w:ascii="仿宋" w:hAnsi="仿宋" w:eastAsia="仿宋" w:cs="仿宋"/>
          <w:color w:val="555555"/>
          <w:kern w:val="0"/>
          <w:sz w:val="32"/>
          <w:szCs w:val="32"/>
          <w:lang w:val="en-US" w:eastAsia="zh-CN"/>
        </w:rPr>
        <w:t>17.56</w:t>
      </w:r>
      <w:r>
        <w:rPr>
          <w:rFonts w:hint="eastAsia" w:ascii="仿宋" w:hAnsi="仿宋" w:eastAsia="仿宋" w:cs="仿宋"/>
          <w:color w:val="555555"/>
          <w:kern w:val="0"/>
          <w:sz w:val="32"/>
          <w:szCs w:val="32"/>
        </w:rPr>
        <w:t>万元、日常维修费</w:t>
      </w:r>
      <w:r>
        <w:rPr>
          <w:rFonts w:hint="eastAsia" w:ascii="仿宋" w:hAnsi="仿宋" w:eastAsia="仿宋" w:cs="仿宋"/>
          <w:color w:val="555555"/>
          <w:kern w:val="0"/>
          <w:sz w:val="32"/>
          <w:szCs w:val="32"/>
          <w:lang w:val="en-US" w:eastAsia="zh-CN"/>
        </w:rPr>
        <w:t>22</w:t>
      </w:r>
      <w:r>
        <w:rPr>
          <w:rFonts w:hint="eastAsia" w:ascii="仿宋" w:hAnsi="仿宋" w:eastAsia="仿宋" w:cs="仿宋"/>
          <w:color w:val="555555"/>
          <w:kern w:val="0"/>
          <w:sz w:val="32"/>
          <w:szCs w:val="32"/>
        </w:rPr>
        <w:t>万元、物业管理费</w:t>
      </w:r>
      <w:r>
        <w:rPr>
          <w:rFonts w:hint="eastAsia" w:ascii="仿宋" w:hAnsi="仿宋" w:eastAsia="仿宋" w:cs="仿宋"/>
          <w:color w:val="555555"/>
          <w:kern w:val="0"/>
          <w:sz w:val="32"/>
          <w:szCs w:val="32"/>
          <w:lang w:val="en-US" w:eastAsia="zh-CN"/>
        </w:rPr>
        <w:t>4.45</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公务接待费</w:t>
      </w:r>
      <w:r>
        <w:rPr>
          <w:rFonts w:hint="eastAsia" w:ascii="仿宋" w:hAnsi="仿宋" w:eastAsia="仿宋" w:cs="仿宋"/>
          <w:color w:val="555555"/>
          <w:kern w:val="0"/>
          <w:sz w:val="32"/>
          <w:szCs w:val="32"/>
          <w:lang w:val="en-US" w:eastAsia="zh-CN"/>
        </w:rPr>
        <w:t>3.41万元、工会经费19.21万元、</w:t>
      </w:r>
      <w:r>
        <w:rPr>
          <w:rFonts w:hint="eastAsia" w:ascii="仿宋" w:hAnsi="仿宋" w:eastAsia="仿宋" w:cs="仿宋"/>
          <w:color w:val="555555"/>
          <w:kern w:val="0"/>
          <w:sz w:val="32"/>
          <w:szCs w:val="32"/>
        </w:rPr>
        <w:t>公务用车运行维护费</w:t>
      </w:r>
      <w:r>
        <w:rPr>
          <w:rFonts w:hint="eastAsia" w:ascii="仿宋" w:hAnsi="仿宋" w:eastAsia="仿宋" w:cs="仿宋"/>
          <w:color w:val="555555"/>
          <w:kern w:val="0"/>
          <w:sz w:val="32"/>
          <w:szCs w:val="32"/>
          <w:lang w:val="en-US" w:eastAsia="zh-CN"/>
        </w:rPr>
        <w:t>20.59</w:t>
      </w:r>
      <w:r>
        <w:rPr>
          <w:rFonts w:hint="eastAsia" w:ascii="仿宋" w:hAnsi="仿宋" w:eastAsia="仿宋" w:cs="仿宋"/>
          <w:color w:val="555555"/>
          <w:kern w:val="0"/>
          <w:sz w:val="32"/>
          <w:szCs w:val="32"/>
        </w:rPr>
        <w:t>万元以及其他</w:t>
      </w:r>
      <w:r>
        <w:rPr>
          <w:rFonts w:hint="eastAsia" w:ascii="仿宋" w:hAnsi="仿宋" w:eastAsia="仿宋" w:cs="仿宋"/>
          <w:color w:val="555555"/>
          <w:kern w:val="0"/>
          <w:sz w:val="32"/>
          <w:szCs w:val="32"/>
          <w:lang w:eastAsia="zh-CN"/>
        </w:rPr>
        <w:t>商品和服务支出</w:t>
      </w:r>
      <w:r>
        <w:rPr>
          <w:rFonts w:hint="eastAsia" w:ascii="仿宋" w:hAnsi="仿宋" w:eastAsia="仿宋" w:cs="仿宋"/>
          <w:color w:val="555555"/>
          <w:kern w:val="0"/>
          <w:sz w:val="32"/>
          <w:szCs w:val="32"/>
          <w:lang w:val="en-US" w:eastAsia="zh-CN"/>
        </w:rPr>
        <w:t>18.59</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rPr>
        <w:t>运行经费</w:t>
      </w:r>
      <w:r>
        <w:rPr>
          <w:rFonts w:hint="eastAsia" w:ascii="仿宋" w:hAnsi="仿宋" w:eastAsia="仿宋" w:cs="仿宋"/>
          <w:color w:val="555555"/>
          <w:kern w:val="0"/>
          <w:sz w:val="32"/>
          <w:szCs w:val="32"/>
          <w:lang w:eastAsia="zh-CN"/>
        </w:rPr>
        <w:t>较上年</w:t>
      </w:r>
      <w:r>
        <w:rPr>
          <w:rFonts w:hint="eastAsia" w:ascii="仿宋" w:hAnsi="仿宋" w:eastAsia="仿宋" w:cs="仿宋"/>
          <w:b w:val="0"/>
          <w:i w:val="0"/>
          <w:caps w:val="0"/>
          <w:color w:val="3D3D3D"/>
          <w:spacing w:val="0"/>
          <w:sz w:val="32"/>
          <w:szCs w:val="32"/>
          <w:shd w:val="clear" w:fill="FFFFFF"/>
          <w:lang w:val="en-US" w:eastAsia="zh-CN"/>
        </w:rPr>
        <w:t>160.84</w:t>
      </w:r>
      <w:r>
        <w:rPr>
          <w:rFonts w:hint="eastAsia" w:ascii="仿宋" w:hAnsi="仿宋" w:eastAsia="仿宋" w:cs="仿宋"/>
          <w:color w:val="555555"/>
          <w:kern w:val="0"/>
          <w:sz w:val="32"/>
          <w:szCs w:val="32"/>
          <w:lang w:eastAsia="zh-CN"/>
        </w:rPr>
        <w:t>增长</w:t>
      </w:r>
      <w:r>
        <w:rPr>
          <w:rFonts w:hint="eastAsia" w:ascii="仿宋" w:hAnsi="仿宋" w:eastAsia="仿宋" w:cs="仿宋"/>
          <w:color w:val="555555"/>
          <w:kern w:val="0"/>
          <w:sz w:val="32"/>
          <w:szCs w:val="32"/>
          <w:lang w:val="en-US" w:eastAsia="zh-CN"/>
        </w:rPr>
        <w:t>5.62万元，同比增长3.49%。主要是</w:t>
      </w:r>
      <w:r>
        <w:rPr>
          <w:rFonts w:hint="eastAsia" w:ascii="仿宋" w:hAnsi="仿宋" w:eastAsia="仿宋" w:cs="仿宋"/>
          <w:color w:val="555555"/>
          <w:kern w:val="0"/>
          <w:sz w:val="32"/>
          <w:szCs w:val="32"/>
          <w:lang w:eastAsia="zh-CN"/>
        </w:rPr>
        <w:t>邮电费增加</w:t>
      </w:r>
      <w:r>
        <w:rPr>
          <w:rFonts w:hint="eastAsia" w:ascii="仿宋" w:hAnsi="仿宋" w:eastAsia="仿宋" w:cs="仿宋"/>
          <w:color w:val="555555"/>
          <w:kern w:val="0"/>
          <w:sz w:val="32"/>
          <w:szCs w:val="32"/>
          <w:lang w:val="en-US" w:eastAsia="zh-CN"/>
        </w:rPr>
        <w:t>2.82万元、工会经费增加9.21万元、维修（护）费</w:t>
      </w:r>
      <w:r>
        <w:rPr>
          <w:rFonts w:hint="eastAsia" w:ascii="仿宋" w:hAnsi="仿宋" w:eastAsia="仿宋" w:cs="仿宋"/>
          <w:color w:val="555555"/>
          <w:kern w:val="0"/>
          <w:sz w:val="32"/>
          <w:szCs w:val="32"/>
          <w:lang w:eastAsia="zh-CN"/>
        </w:rPr>
        <w:t>减少</w:t>
      </w:r>
      <w:r>
        <w:rPr>
          <w:rFonts w:hint="eastAsia" w:ascii="仿宋" w:hAnsi="仿宋" w:eastAsia="仿宋" w:cs="仿宋"/>
          <w:color w:val="555555"/>
          <w:kern w:val="0"/>
          <w:sz w:val="32"/>
          <w:szCs w:val="32"/>
          <w:lang w:val="en-US" w:eastAsia="zh-CN"/>
        </w:rPr>
        <w:t>7万元、公务接待费减少0.24万元、</w:t>
      </w:r>
      <w:r>
        <w:rPr>
          <w:rFonts w:hint="eastAsia" w:ascii="仿宋" w:hAnsi="仿宋" w:eastAsia="仿宋" w:cs="仿宋"/>
          <w:color w:val="555555"/>
          <w:kern w:val="0"/>
          <w:sz w:val="32"/>
          <w:szCs w:val="32"/>
        </w:rPr>
        <w:t>公务用车运行维护费</w:t>
      </w:r>
      <w:r>
        <w:rPr>
          <w:rFonts w:hint="eastAsia" w:ascii="仿宋" w:hAnsi="仿宋" w:eastAsia="仿宋" w:cs="仿宋"/>
          <w:color w:val="555555"/>
          <w:kern w:val="0"/>
          <w:sz w:val="32"/>
          <w:szCs w:val="32"/>
          <w:lang w:val="en-US" w:eastAsia="zh-CN"/>
        </w:rPr>
        <w:t>减少1.41</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、其他商品和服务支出减少</w:t>
      </w:r>
      <w:r>
        <w:rPr>
          <w:rFonts w:hint="eastAsia" w:ascii="仿宋" w:hAnsi="仿宋" w:eastAsia="仿宋" w:cs="仿宋"/>
          <w:color w:val="555555"/>
          <w:kern w:val="0"/>
          <w:sz w:val="32"/>
          <w:szCs w:val="32"/>
          <w:lang w:val="en-US" w:eastAsia="zh-CN"/>
        </w:rPr>
        <w:t>12.93万元</w:t>
      </w:r>
      <w:r>
        <w:rPr>
          <w:rFonts w:hint="eastAsia" w:ascii="仿宋" w:hAnsi="仿宋" w:eastAsia="仿宋" w:cs="仿宋"/>
          <w:color w:val="555555"/>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运行经费较上年增加的主要原因：一是根据</w:t>
      </w:r>
      <w:r>
        <w:rPr>
          <w:rFonts w:hint="eastAsia" w:ascii="仿宋" w:hAnsi="仿宋" w:eastAsia="仿宋" w:cs="仿宋"/>
          <w:color w:val="555555"/>
          <w:kern w:val="0"/>
          <w:sz w:val="32"/>
          <w:szCs w:val="32"/>
          <w:lang w:val="en-US" w:eastAsia="zh-CN"/>
        </w:rPr>
        <w:t>2020年度实际预算执行情况进行了调整，二是根据2020年度工作计划对可能增加或减少的费用科目进行了调整，三是按省级相关扶贫政策购买扶贫产品，工会经费和福利费略有增加。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七</w:t>
      </w:r>
      <w:r>
        <w:rPr>
          <w:rFonts w:hint="eastAsia" w:ascii="仿宋" w:hAnsi="仿宋" w:eastAsia="仿宋" w:cs="仿宋"/>
          <w:color w:val="555555"/>
          <w:kern w:val="0"/>
          <w:sz w:val="32"/>
          <w:szCs w:val="32"/>
        </w:rPr>
        <w:t>）政府采购情况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2021</w:t>
      </w:r>
      <w:r>
        <w:rPr>
          <w:rFonts w:hint="eastAsia" w:ascii="仿宋" w:hAnsi="仿宋" w:eastAsia="仿宋" w:cs="仿宋"/>
          <w:color w:val="auto"/>
          <w:kern w:val="0"/>
          <w:sz w:val="32"/>
          <w:szCs w:val="32"/>
        </w:rPr>
        <w:t>年部门</w:t>
      </w:r>
      <w:r>
        <w:rPr>
          <w:rFonts w:hint="eastAsia" w:ascii="仿宋" w:hAnsi="仿宋" w:eastAsia="仿宋" w:cs="仿宋"/>
          <w:color w:val="auto"/>
          <w:kern w:val="0"/>
          <w:sz w:val="32"/>
          <w:szCs w:val="32"/>
          <w:lang w:eastAsia="zh-CN"/>
        </w:rPr>
        <w:t>及</w:t>
      </w:r>
      <w:r>
        <w:rPr>
          <w:rFonts w:hint="eastAsia" w:ascii="仿宋" w:hAnsi="仿宋" w:eastAsia="仿宋" w:cs="仿宋"/>
          <w:color w:val="auto"/>
          <w:kern w:val="0"/>
          <w:sz w:val="32"/>
          <w:szCs w:val="32"/>
        </w:rPr>
        <w:t>所属各单位</w:t>
      </w:r>
      <w:r>
        <w:rPr>
          <w:rFonts w:hint="eastAsia" w:ascii="仿宋" w:hAnsi="仿宋" w:eastAsia="仿宋" w:cs="仿宋"/>
          <w:color w:val="auto"/>
          <w:kern w:val="0"/>
          <w:sz w:val="32"/>
          <w:szCs w:val="32"/>
          <w:lang w:eastAsia="zh-CN"/>
        </w:rPr>
        <w:t>暂未安排</w:t>
      </w:r>
      <w:r>
        <w:rPr>
          <w:rFonts w:hint="eastAsia" w:ascii="仿宋" w:hAnsi="仿宋" w:eastAsia="仿宋" w:cs="仿宋"/>
          <w:color w:val="auto"/>
          <w:kern w:val="0"/>
          <w:sz w:val="32"/>
          <w:szCs w:val="32"/>
        </w:rPr>
        <w:t>政府采购</w:t>
      </w:r>
      <w:r>
        <w:rPr>
          <w:rFonts w:hint="eastAsia" w:ascii="仿宋" w:hAnsi="仿宋" w:eastAsia="仿宋" w:cs="仿宋"/>
          <w:color w:val="auto"/>
          <w:kern w:val="0"/>
          <w:sz w:val="32"/>
          <w:szCs w:val="32"/>
          <w:lang w:eastAsia="zh-CN"/>
        </w:rPr>
        <w:t>预算。后期将与财政局政府采购科联系，若涉及政府采购的将严格执行相关采购程序。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国有资产占用情况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2021年度期初数中，资产总额2028.96万元，较上年2150.42万元减少121.46万元，同比下降5.65%。下降的主要原因为货币资金减少47.77万元、非流动资产减少73.71万元。其中：</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流动资产457.58万元，占资产总额的22.55%。其中：货币资金42.46万元，较上年减少47.77万元，同比下降52.58%，主要原因为可用资金存量减少；其他应收款415.11万元，较上年无变动。</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固定资产原值2225.26万元，净值1376.38万元占资产总额的62.9%。其中：房屋及构筑物1950.26万元，与上年度无增减变化；车辆187.74万元，与上年度无增减变化；其他通用设备类90.26万元，较上年89.02万元增长1.24万元，同比增长1.39%，主要原因是通过政府采购办公用碎纸机、机房交换机、电源等。</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firstLine="640"/>
        <w:jc w:val="both"/>
        <w:textAlignment w:val="auto"/>
        <w:outlineLvl w:val="9"/>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3、无形资产（土地）195万元，占资产总额的9.6%，与上年度无增减变化。</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b/>
          <w:bCs/>
          <w:color w:val="555555"/>
          <w:kern w:val="0"/>
          <w:sz w:val="32"/>
          <w:szCs w:val="32"/>
        </w:rPr>
      </w:pPr>
      <w:r>
        <w:rPr>
          <w:rFonts w:hint="eastAsia" w:ascii="仿宋" w:hAnsi="仿宋" w:eastAsia="仿宋" w:cs="仿宋"/>
          <w:b/>
          <w:bCs/>
          <w:color w:val="555555"/>
          <w:kern w:val="0"/>
          <w:sz w:val="32"/>
          <w:szCs w:val="32"/>
        </w:rPr>
        <w:t>二、20</w:t>
      </w:r>
      <w:r>
        <w:rPr>
          <w:rFonts w:hint="eastAsia" w:ascii="仿宋" w:hAnsi="仿宋" w:eastAsia="仿宋" w:cs="仿宋"/>
          <w:b/>
          <w:bCs/>
          <w:color w:val="555555"/>
          <w:kern w:val="0"/>
          <w:sz w:val="32"/>
          <w:szCs w:val="32"/>
          <w:lang w:val="en-US" w:eastAsia="zh-CN"/>
        </w:rPr>
        <w:t>21</w:t>
      </w:r>
      <w:r>
        <w:rPr>
          <w:rFonts w:hint="eastAsia" w:ascii="仿宋" w:hAnsi="仿宋" w:eastAsia="仿宋" w:cs="仿宋"/>
          <w:b/>
          <w:bCs/>
          <w:color w:val="555555"/>
          <w:kern w:val="0"/>
          <w:sz w:val="32"/>
          <w:szCs w:val="32"/>
        </w:rPr>
        <w:t>年“三公”经费预算情况说明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20</w:t>
      </w:r>
      <w:r>
        <w:rPr>
          <w:rFonts w:hint="eastAsia" w:ascii="仿宋" w:hAnsi="仿宋" w:eastAsia="仿宋" w:cs="仿宋"/>
          <w:color w:val="555555"/>
          <w:kern w:val="0"/>
          <w:sz w:val="32"/>
          <w:szCs w:val="32"/>
          <w:lang w:val="en-US" w:eastAsia="zh-CN"/>
        </w:rPr>
        <w:t>21</w:t>
      </w:r>
      <w:r>
        <w:rPr>
          <w:rFonts w:hint="eastAsia" w:ascii="仿宋" w:hAnsi="仿宋" w:eastAsia="仿宋" w:cs="仿宋"/>
          <w:color w:val="555555"/>
          <w:kern w:val="0"/>
          <w:sz w:val="32"/>
          <w:szCs w:val="32"/>
        </w:rPr>
        <w:t>年</w:t>
      </w:r>
      <w:r>
        <w:rPr>
          <w:rFonts w:hint="eastAsia" w:ascii="仿宋" w:hAnsi="仿宋" w:eastAsia="仿宋" w:cs="仿宋"/>
          <w:color w:val="555555"/>
          <w:kern w:val="0"/>
          <w:sz w:val="32"/>
          <w:szCs w:val="32"/>
          <w:lang w:eastAsia="zh-CN"/>
        </w:rPr>
        <w:t>本部门</w:t>
      </w:r>
      <w:r>
        <w:rPr>
          <w:rFonts w:hint="eastAsia" w:ascii="仿宋" w:hAnsi="仿宋" w:eastAsia="仿宋" w:cs="仿宋"/>
          <w:color w:val="555555"/>
          <w:kern w:val="0"/>
          <w:sz w:val="32"/>
          <w:szCs w:val="32"/>
        </w:rPr>
        <w:t>“三公”经费年初预算安排</w:t>
      </w:r>
      <w:r>
        <w:rPr>
          <w:rFonts w:hint="eastAsia" w:ascii="仿宋" w:hAnsi="仿宋" w:eastAsia="仿宋" w:cs="仿宋"/>
          <w:color w:val="555555"/>
          <w:kern w:val="0"/>
          <w:sz w:val="32"/>
          <w:szCs w:val="32"/>
          <w:lang w:val="en-US" w:eastAsia="zh-CN"/>
        </w:rPr>
        <w:t>24</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，较上年度</w:t>
      </w:r>
      <w:r>
        <w:rPr>
          <w:rFonts w:hint="eastAsia" w:ascii="仿宋" w:hAnsi="仿宋" w:eastAsia="仿宋" w:cs="仿宋"/>
          <w:color w:val="555555"/>
          <w:kern w:val="0"/>
          <w:sz w:val="32"/>
          <w:szCs w:val="32"/>
          <w:lang w:val="en-US" w:eastAsia="zh-CN"/>
        </w:rPr>
        <w:t>25.65万元</w:t>
      </w:r>
      <w:r>
        <w:rPr>
          <w:rFonts w:hint="eastAsia" w:ascii="仿宋" w:hAnsi="仿宋" w:eastAsia="仿宋" w:cs="仿宋"/>
          <w:color w:val="555555"/>
          <w:kern w:val="0"/>
          <w:sz w:val="32"/>
          <w:szCs w:val="32"/>
          <w:lang w:eastAsia="zh-CN"/>
        </w:rPr>
        <w:t>减少</w:t>
      </w:r>
      <w:r>
        <w:rPr>
          <w:rFonts w:hint="eastAsia" w:ascii="仿宋" w:hAnsi="仿宋" w:eastAsia="仿宋" w:cs="仿宋"/>
          <w:color w:val="555555"/>
          <w:kern w:val="0"/>
          <w:sz w:val="32"/>
          <w:szCs w:val="32"/>
          <w:lang w:val="en-US" w:eastAsia="zh-CN"/>
        </w:rPr>
        <w:t>1.65万元，同比下降6.43%</w:t>
      </w:r>
      <w:r>
        <w:rPr>
          <w:rFonts w:hint="eastAsia" w:ascii="仿宋" w:hAnsi="仿宋" w:eastAsia="仿宋" w:cs="仿宋"/>
          <w:color w:val="555555"/>
          <w:kern w:val="0"/>
          <w:sz w:val="32"/>
          <w:szCs w:val="32"/>
        </w:rPr>
        <w:t>。本部门严格遵照执行中央“八项规定”有关精神和要求，从严控制“三公经费”总量，近年来开支基本平稳并呈逐年下降态势。其中：</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因公出国（境）费0万元，比上年增（减）0万元。主要原因：本部门本年度未安排因公出国（境）人员。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rPr>
        <w:t>公务接待费</w:t>
      </w:r>
      <w:r>
        <w:rPr>
          <w:rFonts w:hint="eastAsia" w:ascii="仿宋" w:hAnsi="仿宋" w:eastAsia="仿宋" w:cs="仿宋"/>
          <w:color w:val="555555"/>
          <w:kern w:val="0"/>
          <w:sz w:val="32"/>
          <w:szCs w:val="32"/>
          <w:lang w:val="en-US" w:eastAsia="zh-CN"/>
        </w:rPr>
        <w:t>3.41</w:t>
      </w:r>
      <w:r>
        <w:rPr>
          <w:rFonts w:hint="eastAsia" w:ascii="仿宋" w:hAnsi="仿宋" w:eastAsia="仿宋" w:cs="仿宋"/>
          <w:color w:val="555555"/>
          <w:kern w:val="0"/>
          <w:sz w:val="32"/>
          <w:szCs w:val="32"/>
        </w:rPr>
        <w:t>万元，</w:t>
      </w:r>
      <w:r>
        <w:rPr>
          <w:rFonts w:hint="eastAsia" w:ascii="仿宋" w:hAnsi="仿宋" w:eastAsia="仿宋" w:cs="仿宋"/>
          <w:color w:val="555555"/>
          <w:kern w:val="0"/>
          <w:sz w:val="32"/>
          <w:szCs w:val="32"/>
          <w:lang w:eastAsia="zh-CN"/>
        </w:rPr>
        <w:t>与上年度</w:t>
      </w:r>
      <w:r>
        <w:rPr>
          <w:rFonts w:hint="eastAsia" w:ascii="仿宋" w:hAnsi="仿宋" w:eastAsia="仿宋" w:cs="仿宋"/>
          <w:color w:val="555555"/>
          <w:kern w:val="0"/>
          <w:sz w:val="32"/>
          <w:szCs w:val="32"/>
          <w:lang w:val="en-US" w:eastAsia="zh-CN"/>
        </w:rPr>
        <w:t>3.65万元略有下降，下降的主要原因是按照财政财预〔2017〕137号文件精神，对一般性支出进行压减。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rPr>
        <w:t>公务用车运行维护费</w:t>
      </w:r>
      <w:r>
        <w:rPr>
          <w:rFonts w:hint="eastAsia" w:ascii="仿宋" w:hAnsi="仿宋" w:eastAsia="仿宋" w:cs="仿宋"/>
          <w:color w:val="555555"/>
          <w:kern w:val="0"/>
          <w:sz w:val="32"/>
          <w:szCs w:val="32"/>
          <w:lang w:val="en-US" w:eastAsia="zh-CN"/>
        </w:rPr>
        <w:t>20.59</w:t>
      </w:r>
      <w:r>
        <w:rPr>
          <w:rFonts w:hint="eastAsia" w:ascii="仿宋" w:hAnsi="仿宋" w:eastAsia="仿宋" w:cs="仿宋"/>
          <w:color w:val="555555"/>
          <w:kern w:val="0"/>
          <w:sz w:val="32"/>
          <w:szCs w:val="32"/>
        </w:rPr>
        <w:t>万元，比上年</w:t>
      </w:r>
      <w:r>
        <w:rPr>
          <w:rFonts w:hint="eastAsia" w:ascii="仿宋" w:hAnsi="仿宋" w:eastAsia="仿宋" w:cs="仿宋"/>
          <w:color w:val="555555"/>
          <w:kern w:val="0"/>
          <w:sz w:val="32"/>
          <w:szCs w:val="32"/>
          <w:lang w:eastAsia="zh-CN"/>
        </w:rPr>
        <w:t>度</w:t>
      </w:r>
      <w:r>
        <w:rPr>
          <w:rFonts w:hint="eastAsia" w:ascii="仿宋" w:hAnsi="仿宋" w:eastAsia="仿宋" w:cs="仿宋"/>
          <w:color w:val="555555"/>
          <w:kern w:val="0"/>
          <w:sz w:val="32"/>
          <w:szCs w:val="32"/>
          <w:lang w:val="en-US" w:eastAsia="zh-CN"/>
        </w:rPr>
        <w:t>22</w:t>
      </w:r>
      <w:r>
        <w:rPr>
          <w:rFonts w:hint="eastAsia" w:ascii="仿宋" w:hAnsi="仿宋" w:eastAsia="仿宋" w:cs="仿宋"/>
          <w:color w:val="555555"/>
          <w:kern w:val="0"/>
          <w:sz w:val="32"/>
          <w:szCs w:val="32"/>
          <w:lang w:eastAsia="zh-CN"/>
        </w:rPr>
        <w:t>万元增下降</w:t>
      </w:r>
      <w:r>
        <w:rPr>
          <w:rFonts w:hint="eastAsia" w:ascii="仿宋" w:hAnsi="仿宋" w:eastAsia="仿宋" w:cs="仿宋"/>
          <w:color w:val="555555"/>
          <w:kern w:val="0"/>
          <w:sz w:val="32"/>
          <w:szCs w:val="32"/>
          <w:lang w:val="en-US" w:eastAsia="zh-CN"/>
        </w:rPr>
        <w:t>1.41万元</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lang w:val="en-US" w:eastAsia="zh-CN"/>
        </w:rPr>
        <w:t>同比下降6.4%，下降的主要原因是按照财政财预〔2017〕137号文件精神，对一般性支出进行压减。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rPr>
        <w:t>公务用车购置费0万元，比上年增（减）0万元。主要原因：本部门本年度无车辆购置需求。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kern w:val="0"/>
          <w:sz w:val="32"/>
          <w:szCs w:val="32"/>
        </w:rPr>
      </w:pP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宋体" w:hAnsi="宋体" w:eastAsia="宋体" w:cs="宋体"/>
          <w:b/>
          <w:bCs/>
          <w:color w:val="555555"/>
          <w:kern w:val="0"/>
          <w:sz w:val="32"/>
          <w:szCs w:val="32"/>
        </w:rPr>
      </w:pPr>
      <w:r>
        <w:rPr>
          <w:rFonts w:hint="eastAsia" w:ascii="宋体" w:hAnsi="宋体" w:eastAsia="宋体" w:cs="宋体"/>
          <w:b/>
          <w:bCs/>
          <w:color w:val="555555"/>
          <w:kern w:val="0"/>
          <w:sz w:val="32"/>
          <w:szCs w:val="32"/>
        </w:rPr>
        <w:t>随州市道路运输管理局20</w:t>
      </w:r>
      <w:r>
        <w:rPr>
          <w:rFonts w:hint="eastAsia" w:ascii="宋体" w:hAnsi="宋体" w:eastAsia="宋体" w:cs="宋体"/>
          <w:b/>
          <w:bCs/>
          <w:color w:val="555555"/>
          <w:kern w:val="0"/>
          <w:sz w:val="32"/>
          <w:szCs w:val="32"/>
          <w:lang w:val="en-US" w:eastAsia="zh-CN"/>
        </w:rPr>
        <w:t>21</w:t>
      </w:r>
      <w:r>
        <w:rPr>
          <w:rFonts w:hint="eastAsia" w:ascii="宋体" w:hAnsi="宋体" w:eastAsia="宋体" w:cs="宋体"/>
          <w:b/>
          <w:bCs/>
          <w:color w:val="555555"/>
          <w:kern w:val="0"/>
          <w:sz w:val="32"/>
          <w:szCs w:val="32"/>
        </w:rPr>
        <w:t>年部门预算表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71135" cy="6944360"/>
            <wp:effectExtent l="0" t="0" r="5715" b="889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6"/>
                    <a:stretch>
                      <a:fillRect/>
                    </a:stretch>
                  </pic:blipFill>
                  <pic:spPr>
                    <a:xfrm>
                      <a:off x="0" y="0"/>
                      <a:ext cx="5271135" cy="6944360"/>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68595" cy="1278255"/>
            <wp:effectExtent l="0" t="0" r="8255" b="1714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7"/>
                    <a:stretch>
                      <a:fillRect/>
                    </a:stretch>
                  </pic:blipFill>
                  <pic:spPr>
                    <a:xfrm>
                      <a:off x="0" y="0"/>
                      <a:ext cx="5268595" cy="127825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68595" cy="2515235"/>
            <wp:effectExtent l="0" t="0" r="8255" b="1841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8"/>
                    <a:stretch>
                      <a:fillRect/>
                    </a:stretch>
                  </pic:blipFill>
                  <pic:spPr>
                    <a:xfrm>
                      <a:off x="0" y="0"/>
                      <a:ext cx="5268595" cy="251523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70500" cy="6243955"/>
            <wp:effectExtent l="0" t="0" r="6350" b="444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9"/>
                    <a:stretch>
                      <a:fillRect/>
                    </a:stretch>
                  </pic:blipFill>
                  <pic:spPr>
                    <a:xfrm>
                      <a:off x="0" y="0"/>
                      <a:ext cx="5270500" cy="624395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73675" cy="3057525"/>
            <wp:effectExtent l="0" t="0" r="3175" b="952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0"/>
                    <a:stretch>
                      <a:fillRect/>
                    </a:stretch>
                  </pic:blipFill>
                  <pic:spPr>
                    <a:xfrm>
                      <a:off x="0" y="0"/>
                      <a:ext cx="5273675" cy="305752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67325" cy="3093085"/>
            <wp:effectExtent l="0" t="0" r="9525" b="1206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1"/>
                    <a:stretch>
                      <a:fillRect/>
                    </a:stretch>
                  </pic:blipFill>
                  <pic:spPr>
                    <a:xfrm>
                      <a:off x="0" y="0"/>
                      <a:ext cx="5267325" cy="309308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70500" cy="6685915"/>
            <wp:effectExtent l="0" t="0" r="6350" b="635"/>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2"/>
                    <a:stretch>
                      <a:fillRect/>
                    </a:stretch>
                  </pic:blipFill>
                  <pic:spPr>
                    <a:xfrm>
                      <a:off x="0" y="0"/>
                      <a:ext cx="5270500" cy="668591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72405" cy="1591310"/>
            <wp:effectExtent l="0" t="0" r="4445" b="889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3"/>
                    <a:stretch>
                      <a:fillRect/>
                    </a:stretch>
                  </pic:blipFill>
                  <pic:spPr>
                    <a:xfrm>
                      <a:off x="0" y="0"/>
                      <a:ext cx="5272405" cy="1591310"/>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71135" cy="1449070"/>
            <wp:effectExtent l="0" t="0" r="5715" b="17780"/>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14"/>
                    <a:stretch>
                      <a:fillRect/>
                    </a:stretch>
                  </pic:blipFill>
                  <pic:spPr>
                    <a:xfrm>
                      <a:off x="0" y="0"/>
                      <a:ext cx="5271135" cy="144907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宋体" w:hAnsi="宋体" w:eastAsia="宋体" w:cs="宋体"/>
          <w:b/>
          <w:bCs/>
          <w:color w:val="555555"/>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宋体" w:hAnsi="宋体" w:eastAsia="宋体" w:cs="宋体"/>
          <w:b/>
          <w:bCs/>
          <w:color w:val="555555"/>
          <w:kern w:val="0"/>
          <w:sz w:val="32"/>
          <w:szCs w:val="32"/>
          <w:lang w:eastAsia="zh-CN"/>
        </w:rPr>
      </w:pPr>
      <w:r>
        <w:rPr>
          <w:rFonts w:hint="eastAsia" w:ascii="宋体" w:hAnsi="宋体" w:eastAsia="宋体" w:cs="宋体"/>
          <w:b/>
          <w:bCs/>
          <w:color w:val="555555"/>
          <w:kern w:val="0"/>
          <w:sz w:val="32"/>
          <w:szCs w:val="32"/>
        </w:rPr>
        <w:t>第</w:t>
      </w:r>
      <w:r>
        <w:rPr>
          <w:rFonts w:hint="eastAsia" w:ascii="宋体" w:hAnsi="宋体" w:eastAsia="宋体" w:cs="宋体"/>
          <w:b/>
          <w:bCs/>
          <w:color w:val="555555"/>
          <w:kern w:val="0"/>
          <w:sz w:val="32"/>
          <w:szCs w:val="32"/>
          <w:lang w:eastAsia="zh-CN"/>
        </w:rPr>
        <w:t>四</w:t>
      </w:r>
      <w:r>
        <w:rPr>
          <w:rFonts w:hint="eastAsia" w:ascii="宋体" w:hAnsi="宋体" w:eastAsia="宋体" w:cs="宋体"/>
          <w:b/>
          <w:bCs/>
          <w:color w:val="555555"/>
          <w:kern w:val="0"/>
          <w:sz w:val="32"/>
          <w:szCs w:val="32"/>
        </w:rPr>
        <w:t>部分</w:t>
      </w:r>
      <w:r>
        <w:rPr>
          <w:rFonts w:hint="eastAsia" w:ascii="宋体" w:hAnsi="宋体" w:eastAsia="宋体" w:cs="宋体"/>
          <w:color w:val="555555"/>
          <w:kern w:val="0"/>
          <w:sz w:val="32"/>
          <w:szCs w:val="32"/>
        </w:rPr>
        <w:t> </w:t>
      </w:r>
      <w:r>
        <w:rPr>
          <w:rFonts w:hint="eastAsia" w:ascii="宋体" w:hAnsi="宋体" w:eastAsia="宋体" w:cs="宋体"/>
          <w:b/>
          <w:bCs/>
          <w:color w:val="555555"/>
          <w:kern w:val="0"/>
          <w:sz w:val="32"/>
          <w:szCs w:val="32"/>
          <w:lang w:eastAsia="zh-CN"/>
        </w:rPr>
        <w:t>预算绩效情况</w:t>
      </w: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
          <w:b/>
          <w:bCs/>
          <w:color w:val="555555"/>
          <w:kern w:val="0"/>
          <w:sz w:val="32"/>
          <w:szCs w:val="32"/>
          <w:lang w:eastAsia="zh-CN"/>
        </w:rPr>
      </w:pPr>
      <w:r>
        <w:rPr>
          <w:rFonts w:hint="eastAsia" w:ascii="仿宋" w:hAnsi="仿宋" w:eastAsia="仿宋" w:cs="仿宋"/>
          <w:b/>
          <w:bCs/>
          <w:color w:val="555555"/>
          <w:kern w:val="0"/>
          <w:sz w:val="32"/>
          <w:szCs w:val="32"/>
          <w:lang w:eastAsia="zh-CN"/>
        </w:rPr>
        <w:t>部门整体绩效目标编制情况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67960" cy="5784215"/>
            <wp:effectExtent l="0" t="0" r="8890" b="6985"/>
            <wp:docPr id="2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pic:cNvPicPr>
                      <a:picLocks noChangeAspect="1"/>
                    </pic:cNvPicPr>
                  </pic:nvPicPr>
                  <pic:blipFill>
                    <a:blip r:embed="rId15"/>
                    <a:stretch>
                      <a:fillRect/>
                    </a:stretch>
                  </pic:blipFill>
                  <pic:spPr>
                    <a:xfrm>
                      <a:off x="0" y="0"/>
                      <a:ext cx="5267960" cy="578421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67960" cy="8487410"/>
            <wp:effectExtent l="0" t="0" r="8890" b="8890"/>
            <wp:docPr id="2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
                    <pic:cNvPicPr>
                      <a:picLocks noChangeAspect="1"/>
                    </pic:cNvPicPr>
                  </pic:nvPicPr>
                  <pic:blipFill>
                    <a:blip r:embed="rId16"/>
                    <a:stretch>
                      <a:fillRect/>
                    </a:stretch>
                  </pic:blipFill>
                  <pic:spPr>
                    <a:xfrm>
                      <a:off x="0" y="0"/>
                      <a:ext cx="5267960" cy="8487410"/>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bCs/>
          <w:color w:val="555555"/>
          <w:kern w:val="0"/>
          <w:sz w:val="32"/>
          <w:szCs w:val="32"/>
          <w:lang w:eastAsia="zh-CN"/>
        </w:rPr>
      </w:pPr>
      <w:r>
        <w:drawing>
          <wp:inline distT="0" distB="0" distL="114300" distR="114300">
            <wp:extent cx="5267960" cy="8253095"/>
            <wp:effectExtent l="0" t="0" r="8890" b="14605"/>
            <wp:docPr id="2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pic:cNvPicPr>
                      <a:picLocks noChangeAspect="1"/>
                    </pic:cNvPicPr>
                  </pic:nvPicPr>
                  <pic:blipFill>
                    <a:blip r:embed="rId17"/>
                    <a:stretch>
                      <a:fillRect/>
                    </a:stretch>
                  </pic:blipFill>
                  <pic:spPr>
                    <a:xfrm>
                      <a:off x="0" y="0"/>
                      <a:ext cx="5267960" cy="825309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555555"/>
          <w:kern w:val="0"/>
          <w:sz w:val="32"/>
          <w:szCs w:val="32"/>
          <w:lang w:eastAsia="zh-CN"/>
        </w:rPr>
      </w:pPr>
    </w:p>
    <w:p>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b/>
          <w:bCs/>
          <w:color w:val="555555"/>
          <w:kern w:val="0"/>
          <w:sz w:val="32"/>
          <w:szCs w:val="32"/>
          <w:lang w:val="en-US" w:eastAsia="zh-CN"/>
        </w:rPr>
      </w:pPr>
      <w:r>
        <w:rPr>
          <w:rFonts w:hint="eastAsia" w:ascii="仿宋" w:hAnsi="仿宋" w:eastAsia="仿宋" w:cs="仿宋"/>
          <w:b/>
          <w:bCs/>
          <w:color w:val="555555"/>
          <w:kern w:val="0"/>
          <w:sz w:val="32"/>
          <w:szCs w:val="32"/>
          <w:lang w:eastAsia="zh-CN"/>
        </w:rPr>
        <w:t>重点项目绩效目标编制情况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b w:val="0"/>
          <w:bCs w:val="0"/>
          <w:color w:val="555555"/>
          <w:kern w:val="0"/>
          <w:sz w:val="32"/>
          <w:szCs w:val="32"/>
          <w:lang w:val="en-US" w:eastAsia="zh-CN"/>
        </w:rPr>
      </w:pPr>
      <w:r>
        <w:rPr>
          <w:rFonts w:hint="eastAsia" w:ascii="仿宋" w:hAnsi="仿宋" w:eastAsia="仿宋" w:cs="仿宋"/>
          <w:b w:val="0"/>
          <w:bCs w:val="0"/>
          <w:color w:val="555555"/>
          <w:kern w:val="0"/>
          <w:sz w:val="32"/>
          <w:szCs w:val="32"/>
          <w:lang w:val="en-US" w:eastAsia="zh-CN"/>
        </w:rPr>
        <w:t>2021年度</w:t>
      </w:r>
      <w:r>
        <w:rPr>
          <w:rFonts w:hint="eastAsia" w:ascii="仿宋" w:hAnsi="仿宋" w:eastAsia="仿宋" w:cs="仿宋"/>
          <w:b w:val="0"/>
          <w:bCs w:val="0"/>
          <w:color w:val="555555"/>
          <w:kern w:val="0"/>
          <w:sz w:val="32"/>
          <w:szCs w:val="32"/>
          <w:lang w:eastAsia="zh-CN"/>
        </w:rPr>
        <w:t>本部门</w:t>
      </w:r>
      <w:r>
        <w:rPr>
          <w:rFonts w:hint="eastAsia" w:ascii="仿宋" w:hAnsi="仿宋" w:eastAsia="仿宋" w:cs="仿宋"/>
          <w:b w:val="0"/>
          <w:bCs w:val="0"/>
          <w:color w:val="555555"/>
          <w:kern w:val="0"/>
          <w:sz w:val="32"/>
          <w:szCs w:val="32"/>
          <w:lang w:val="en-US" w:eastAsia="zh-CN"/>
        </w:rPr>
        <w:t>预算安排项目两个：</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b w:val="0"/>
          <w:bCs w:val="0"/>
          <w:color w:val="555555"/>
          <w:kern w:val="0"/>
          <w:sz w:val="32"/>
          <w:szCs w:val="32"/>
          <w:lang w:val="en-US" w:eastAsia="zh-CN"/>
        </w:rPr>
      </w:pPr>
      <w:r>
        <w:rPr>
          <w:rFonts w:hint="eastAsia" w:ascii="仿宋" w:hAnsi="仿宋" w:eastAsia="仿宋" w:cs="仿宋"/>
          <w:b w:val="0"/>
          <w:bCs w:val="0"/>
          <w:color w:val="555555"/>
          <w:kern w:val="0"/>
          <w:sz w:val="32"/>
          <w:szCs w:val="32"/>
          <w:lang w:val="en-US" w:eastAsia="zh-CN"/>
        </w:rPr>
        <w:t>项目（一）道路运输取消收费补助－道路客运安全监管，项目资金10万元，此项目为延续性日常项目，主要用于客运市场的网络平台的建设运行和维护，非重点项目。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69230" cy="8359140"/>
            <wp:effectExtent l="0" t="0" r="7620" b="3810"/>
            <wp:docPr id="3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pic:cNvPicPr>
                      <a:picLocks noChangeAspect="1"/>
                    </pic:cNvPicPr>
                  </pic:nvPicPr>
                  <pic:blipFill>
                    <a:blip r:embed="rId18"/>
                    <a:stretch>
                      <a:fillRect/>
                    </a:stretch>
                  </pic:blipFill>
                  <pic:spPr>
                    <a:xfrm>
                      <a:off x="0" y="0"/>
                      <a:ext cx="5269230" cy="8359140"/>
                    </a:xfrm>
                    <a:prstGeom prst="rect">
                      <a:avLst/>
                    </a:prstGeom>
                    <a:noFill/>
                    <a:ln w="9525">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cs="仿宋"/>
          <w:b w:val="0"/>
          <w:bCs w:val="0"/>
          <w:color w:val="555555"/>
          <w:kern w:val="0"/>
          <w:sz w:val="32"/>
          <w:szCs w:val="32"/>
          <w:lang w:val="en-US" w:eastAsia="zh-CN"/>
        </w:rPr>
      </w:pPr>
      <w:r>
        <w:drawing>
          <wp:inline distT="0" distB="0" distL="114300" distR="114300">
            <wp:extent cx="5269230" cy="8530590"/>
            <wp:effectExtent l="0" t="0" r="7620" b="3810"/>
            <wp:docPr id="3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4"/>
                    <pic:cNvPicPr>
                      <a:picLocks noChangeAspect="1"/>
                    </pic:cNvPicPr>
                  </pic:nvPicPr>
                  <pic:blipFill>
                    <a:blip r:embed="rId19"/>
                    <a:stretch>
                      <a:fillRect/>
                    </a:stretch>
                  </pic:blipFill>
                  <pic:spPr>
                    <a:xfrm>
                      <a:off x="0" y="0"/>
                      <a:ext cx="5269230" cy="8530590"/>
                    </a:xfrm>
                    <a:prstGeom prst="rect">
                      <a:avLst/>
                    </a:prstGeom>
                    <a:noFill/>
                    <a:ln w="9525">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b w:val="0"/>
          <w:bCs w:val="0"/>
          <w:color w:val="555555"/>
          <w:kern w:val="0"/>
          <w:sz w:val="32"/>
          <w:szCs w:val="32"/>
          <w:lang w:val="en-US" w:eastAsia="zh-CN"/>
        </w:rPr>
      </w:pPr>
      <w:r>
        <w:rPr>
          <w:rFonts w:hint="eastAsia" w:ascii="仿宋" w:hAnsi="仿宋" w:eastAsia="仿宋" w:cs="仿宋"/>
          <w:b w:val="0"/>
          <w:bCs w:val="0"/>
          <w:color w:val="555555"/>
          <w:kern w:val="0"/>
          <w:sz w:val="32"/>
          <w:szCs w:val="32"/>
          <w:lang w:val="en-US" w:eastAsia="zh-CN"/>
        </w:rPr>
        <w:t>项目（二）道路运输企业主要负责人和安全管理人员安全考核，项目资金30万元。主要用于道路运输企业主要负责人和安全管理人员安全考核，考核将委托第三方机构（随州市韵达道路运输服务有限公司）承办，考点设置在随州市道路运输管理局从业资格证考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b w:val="0"/>
          <w:bCs w:val="0"/>
          <w:color w:val="555555"/>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555555"/>
          <w:kern w:val="0"/>
          <w:sz w:val="32"/>
          <w:szCs w:val="32"/>
        </w:rPr>
      </w:pPr>
      <w:r>
        <w:drawing>
          <wp:inline distT="0" distB="0" distL="114300" distR="114300">
            <wp:extent cx="5270500" cy="58642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5270500" cy="5864225"/>
                    </a:xfrm>
                    <a:prstGeom prst="rect">
                      <a:avLst/>
                    </a:prstGeom>
                    <a:noFill/>
                    <a:ln>
                      <a:noFill/>
                    </a:ln>
                  </pic:spPr>
                </pic:pic>
              </a:graphicData>
            </a:graphic>
          </wp:inline>
        </w:drawing>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宋体" w:hAnsi="宋体" w:eastAsia="宋体" w:cs="宋体"/>
          <w:b/>
          <w:bCs/>
          <w:color w:val="555555"/>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pPr>
      <w:r>
        <w:drawing>
          <wp:inline distT="0" distB="0" distL="114300" distR="114300">
            <wp:extent cx="5270500" cy="8266430"/>
            <wp:effectExtent l="0" t="0" r="6350" b="127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21"/>
                    <a:stretch>
                      <a:fillRect/>
                    </a:stretch>
                  </pic:blipFill>
                  <pic:spPr>
                    <a:xfrm>
                      <a:off x="0" y="0"/>
                      <a:ext cx="5270500" cy="8266430"/>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outlineLvl w:val="9"/>
        <w:rPr>
          <w:rFonts w:hint="eastAsia"/>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宋体" w:hAnsi="宋体" w:eastAsia="宋体" w:cs="宋体"/>
          <w:color w:val="555555"/>
          <w:kern w:val="0"/>
          <w:sz w:val="32"/>
          <w:szCs w:val="32"/>
        </w:rPr>
      </w:pPr>
      <w:r>
        <w:rPr>
          <w:rFonts w:hint="eastAsia" w:ascii="宋体" w:hAnsi="宋体" w:eastAsia="宋体" w:cs="宋体"/>
          <w:b/>
          <w:bCs/>
          <w:color w:val="555555"/>
          <w:kern w:val="0"/>
          <w:sz w:val="32"/>
          <w:szCs w:val="32"/>
        </w:rPr>
        <w:t>第</w:t>
      </w:r>
      <w:r>
        <w:rPr>
          <w:rFonts w:hint="eastAsia" w:ascii="宋体" w:hAnsi="宋体" w:eastAsia="宋体" w:cs="宋体"/>
          <w:b/>
          <w:bCs/>
          <w:color w:val="555555"/>
          <w:kern w:val="0"/>
          <w:sz w:val="32"/>
          <w:szCs w:val="32"/>
          <w:lang w:eastAsia="zh-CN"/>
        </w:rPr>
        <w:t>五</w:t>
      </w:r>
      <w:r>
        <w:rPr>
          <w:rFonts w:hint="eastAsia" w:ascii="宋体" w:hAnsi="宋体" w:eastAsia="宋体" w:cs="宋体"/>
          <w:b/>
          <w:bCs/>
          <w:color w:val="555555"/>
          <w:kern w:val="0"/>
          <w:sz w:val="32"/>
          <w:szCs w:val="32"/>
        </w:rPr>
        <w:t>部分</w:t>
      </w:r>
      <w:r>
        <w:rPr>
          <w:rFonts w:hint="eastAsia" w:ascii="宋体" w:hAnsi="宋体" w:eastAsia="宋体" w:cs="宋体"/>
          <w:color w:val="555555"/>
          <w:kern w:val="0"/>
          <w:sz w:val="32"/>
          <w:szCs w:val="32"/>
        </w:rPr>
        <w:t> </w:t>
      </w:r>
      <w:r>
        <w:rPr>
          <w:rFonts w:hint="eastAsia" w:ascii="宋体" w:hAnsi="宋体" w:eastAsia="宋体" w:cs="宋体"/>
          <w:b/>
          <w:bCs/>
          <w:color w:val="555555"/>
          <w:kern w:val="0"/>
          <w:sz w:val="32"/>
          <w:szCs w:val="32"/>
        </w:rPr>
        <w:t>名词解释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color w:val="555555"/>
          <w:sz w:val="32"/>
          <w:szCs w:val="32"/>
          <w:shd w:val="clear" w:color="auto" w:fill="FFFFFF"/>
        </w:rPr>
      </w:pPr>
      <w:r>
        <w:rPr>
          <w:rFonts w:hint="eastAsia" w:ascii="仿宋" w:hAnsi="仿宋" w:eastAsia="仿宋" w:cs="仿宋"/>
          <w:color w:val="555555"/>
          <w:sz w:val="32"/>
          <w:szCs w:val="32"/>
          <w:shd w:val="clear" w:color="auto" w:fill="FFFFFF"/>
        </w:rPr>
        <w:t>1、财政拨款（补助）收入：指财政预算安排且当年拨付的资金</w:t>
      </w:r>
      <w:r>
        <w:rPr>
          <w:rFonts w:hint="eastAsia" w:ascii="仿宋" w:hAnsi="仿宋" w:eastAsia="仿宋" w:cs="仿宋"/>
          <w:color w:val="555555"/>
          <w:sz w:val="32"/>
          <w:szCs w:val="32"/>
          <w:shd w:val="clear" w:color="auto" w:fill="FFFFFF"/>
          <w:lang w:eastAsia="zh-CN"/>
        </w:rPr>
        <w:t>。</w:t>
      </w:r>
      <w:r>
        <w:rPr>
          <w:rFonts w:hint="eastAsia" w:ascii="仿宋" w:hAnsi="仿宋" w:eastAsia="仿宋" w:cs="仿宋"/>
          <w:color w:val="555555"/>
          <w:sz w:val="32"/>
          <w:szCs w:val="32"/>
          <w:shd w:val="clear" w:color="auto" w:fill="FFFFFF"/>
        </w:rPr>
        <w:br w:type="textWrapping"/>
      </w:r>
      <w:r>
        <w:rPr>
          <w:rFonts w:hint="eastAsia" w:ascii="仿宋" w:hAnsi="仿宋" w:eastAsia="仿宋" w:cs="仿宋"/>
          <w:color w:val="555555"/>
          <w:sz w:val="32"/>
          <w:szCs w:val="32"/>
          <w:shd w:val="clear" w:color="auto" w:fill="FFFFFF"/>
        </w:rPr>
        <w:t xml:space="preserve">  </w:t>
      </w:r>
      <w:r>
        <w:rPr>
          <w:rFonts w:hint="eastAsia" w:ascii="仿宋" w:hAnsi="仿宋" w:eastAsia="仿宋" w:cs="仿宋"/>
          <w:color w:val="555555"/>
          <w:sz w:val="32"/>
          <w:szCs w:val="32"/>
          <w:shd w:val="clear" w:color="auto" w:fill="FFFFFF"/>
          <w:lang w:val="en-US" w:eastAsia="zh-CN"/>
        </w:rPr>
        <w:t xml:space="preserve">  </w:t>
      </w:r>
      <w:r>
        <w:rPr>
          <w:rFonts w:hint="eastAsia" w:ascii="仿宋" w:hAnsi="仿宋" w:eastAsia="仿宋" w:cs="仿宋"/>
          <w:color w:val="555555"/>
          <w:sz w:val="32"/>
          <w:szCs w:val="32"/>
          <w:shd w:val="clear" w:color="auto" w:fill="FFFFFF"/>
        </w:rPr>
        <w:t>2、基本支出：指为保障机构正常运转、完成日常工作任务而发生的人员支出（包括基本工资、津贴补贴等）和公用支出（包括办公费、水电费、邮电费、交通费、会议费、差旅费等）。</w:t>
      </w:r>
      <w:r>
        <w:rPr>
          <w:rFonts w:hint="eastAsia" w:ascii="仿宋" w:hAnsi="仿宋" w:eastAsia="仿宋" w:cs="仿宋"/>
          <w:color w:val="555555"/>
          <w:sz w:val="32"/>
          <w:szCs w:val="32"/>
          <w:shd w:val="clear" w:color="auto" w:fill="FFFFFF"/>
        </w:rPr>
        <w:br w:type="textWrapping"/>
      </w:r>
      <w:r>
        <w:rPr>
          <w:rFonts w:hint="eastAsia" w:ascii="仿宋" w:hAnsi="仿宋" w:eastAsia="仿宋" w:cs="仿宋"/>
          <w:color w:val="555555"/>
          <w:sz w:val="32"/>
          <w:szCs w:val="32"/>
          <w:shd w:val="clear" w:color="auto" w:fill="FFFFFF"/>
        </w:rPr>
        <w:t xml:space="preserve">    3、“三公”经费：包括因公出国（境）费、公务接待费、公务用车购置及运行费。</w:t>
      </w:r>
      <w:r>
        <w:rPr>
          <w:rFonts w:hint="eastAsia" w:ascii="仿宋" w:hAnsi="仿宋" w:eastAsia="仿宋" w:cs="仿宋"/>
          <w:color w:val="555555"/>
          <w:sz w:val="32"/>
          <w:szCs w:val="32"/>
          <w:shd w:val="clear" w:color="auto" w:fill="FFFFFF"/>
        </w:rPr>
        <w:br w:type="textWrapping"/>
      </w:r>
      <w:r>
        <w:rPr>
          <w:rFonts w:hint="eastAsia" w:ascii="仿宋" w:hAnsi="仿宋" w:eastAsia="仿宋" w:cs="仿宋"/>
          <w:color w:val="555555"/>
          <w:sz w:val="32"/>
          <w:szCs w:val="32"/>
          <w:shd w:val="clear" w:color="auto" w:fill="FFFFFF"/>
        </w:rPr>
        <w:t xml:space="preserve">  </w:t>
      </w:r>
      <w:r>
        <w:rPr>
          <w:rFonts w:hint="eastAsia" w:ascii="仿宋" w:hAnsi="仿宋" w:eastAsia="仿宋" w:cs="仿宋"/>
          <w:color w:val="555555"/>
          <w:sz w:val="32"/>
          <w:szCs w:val="32"/>
          <w:shd w:val="clear" w:color="auto" w:fill="FFFFFF"/>
          <w:lang w:val="en-US" w:eastAsia="zh-CN"/>
        </w:rPr>
        <w:t xml:space="preserve">  </w:t>
      </w:r>
      <w:r>
        <w:rPr>
          <w:rFonts w:hint="eastAsia" w:ascii="仿宋" w:hAnsi="仿宋" w:eastAsia="仿宋" w:cs="仿宋"/>
          <w:color w:val="555555"/>
          <w:sz w:val="32"/>
          <w:szCs w:val="32"/>
          <w:shd w:val="clear" w:color="auto" w:fill="FFFFFF"/>
        </w:rPr>
        <w:t>4、公务接待费：指单位按规定开支的各类公务接待支出。</w:t>
      </w:r>
      <w:r>
        <w:rPr>
          <w:rFonts w:hint="eastAsia" w:ascii="仿宋" w:hAnsi="仿宋" w:eastAsia="仿宋" w:cs="仿宋"/>
          <w:color w:val="555555"/>
          <w:sz w:val="32"/>
          <w:szCs w:val="32"/>
          <w:shd w:val="clear" w:color="auto" w:fill="FFFFFF"/>
        </w:rPr>
        <w:br w:type="textWrapping"/>
      </w:r>
      <w:r>
        <w:rPr>
          <w:rFonts w:hint="eastAsia" w:ascii="仿宋" w:hAnsi="仿宋" w:eastAsia="仿宋" w:cs="仿宋"/>
          <w:color w:val="555555"/>
          <w:sz w:val="32"/>
          <w:szCs w:val="32"/>
          <w:shd w:val="clear" w:color="auto" w:fill="FFFFFF"/>
        </w:rPr>
        <w:t xml:space="preserve"> </w:t>
      </w:r>
      <w:r>
        <w:rPr>
          <w:rFonts w:hint="eastAsia" w:ascii="仿宋" w:hAnsi="仿宋" w:eastAsia="仿宋" w:cs="仿宋"/>
          <w:color w:val="555555"/>
          <w:sz w:val="32"/>
          <w:szCs w:val="32"/>
          <w:shd w:val="clear" w:color="auto" w:fill="FFFFFF"/>
          <w:lang w:val="en-US" w:eastAsia="zh-CN"/>
        </w:rPr>
        <w:t xml:space="preserve">  </w:t>
      </w:r>
      <w:r>
        <w:rPr>
          <w:rFonts w:hint="eastAsia" w:ascii="仿宋" w:hAnsi="仿宋" w:eastAsia="仿宋" w:cs="仿宋"/>
          <w:color w:val="555555"/>
          <w:sz w:val="32"/>
          <w:szCs w:val="32"/>
          <w:shd w:val="clear" w:color="auto" w:fill="FFFFFF"/>
        </w:rPr>
        <w:t xml:space="preserve"> 5、公务用车：指单位用于履行公务的车辆，包括一般公务用车和执法执勤用车。</w:t>
      </w:r>
      <w:r>
        <w:rPr>
          <w:rFonts w:hint="eastAsia" w:ascii="仿宋" w:hAnsi="仿宋" w:eastAsia="仿宋" w:cs="仿宋"/>
          <w:color w:val="555555"/>
          <w:sz w:val="32"/>
          <w:szCs w:val="32"/>
          <w:shd w:val="clear" w:color="auto" w:fill="FFFFFF"/>
        </w:rPr>
        <w:br w:type="textWrapping"/>
      </w:r>
      <w:r>
        <w:rPr>
          <w:rFonts w:hint="eastAsia" w:ascii="仿宋" w:hAnsi="仿宋" w:eastAsia="仿宋" w:cs="仿宋"/>
          <w:color w:val="555555"/>
          <w:sz w:val="32"/>
          <w:szCs w:val="32"/>
          <w:shd w:val="clear" w:color="auto" w:fill="FFFFFF"/>
        </w:rPr>
        <w:t xml:space="preserve"> </w:t>
      </w:r>
      <w:r>
        <w:rPr>
          <w:rFonts w:hint="eastAsia" w:ascii="仿宋" w:hAnsi="仿宋" w:eastAsia="仿宋" w:cs="仿宋"/>
          <w:color w:val="555555"/>
          <w:sz w:val="32"/>
          <w:szCs w:val="32"/>
          <w:shd w:val="clear" w:color="auto" w:fill="FFFFFF"/>
          <w:lang w:val="en-US" w:eastAsia="zh-CN"/>
        </w:rPr>
        <w:t xml:space="preserve">  </w:t>
      </w:r>
      <w:r>
        <w:rPr>
          <w:rFonts w:hint="eastAsia" w:ascii="仿宋" w:hAnsi="仿宋" w:eastAsia="仿宋" w:cs="仿宋"/>
          <w:color w:val="555555"/>
          <w:sz w:val="32"/>
          <w:szCs w:val="32"/>
          <w:shd w:val="clear" w:color="auto" w:fill="FFFFFF"/>
        </w:rPr>
        <w:t xml:space="preserve"> 6、公务用车购置及运行费：指单位公务用车购置及租用费、燃料费、维修费、过桥过路费、保险费用等支出。</w:t>
      </w:r>
    </w:p>
    <w:p>
      <w:pPr>
        <w:keepNext w:val="0"/>
        <w:keepLines w:val="0"/>
        <w:pageBreakBefore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p>
    <w:sectPr>
      <w:headerReference r:id="rId3" w:type="default"/>
      <w:footerReference r:id="rId4" w:type="default"/>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HJl1ZnRAQAApgMAAA4AAAAAAAAAAQAgAAAAHgEAAGRy&#10;cy9lMm9Eb2MueG1sUEsFBgAAAAAGAAYAWQEAAGE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BAB5"/>
    <w:multiLevelType w:val="singleLevel"/>
    <w:tmpl w:val="C4C5BAB5"/>
    <w:lvl w:ilvl="0" w:tentative="0">
      <w:start w:val="1"/>
      <w:numFmt w:val="decimal"/>
      <w:suff w:val="nothing"/>
      <w:lvlText w:val="%1、"/>
      <w:lvlJc w:val="left"/>
    </w:lvl>
  </w:abstractNum>
  <w:abstractNum w:abstractNumId="1">
    <w:nsid w:val="D126657B"/>
    <w:multiLevelType w:val="singleLevel"/>
    <w:tmpl w:val="D126657B"/>
    <w:lvl w:ilvl="0" w:tentative="0">
      <w:start w:val="8"/>
      <w:numFmt w:val="chineseCounting"/>
      <w:suff w:val="nothing"/>
      <w:lvlText w:val="（%1）"/>
      <w:lvlJc w:val="left"/>
      <w:rPr>
        <w:rFonts w:hint="eastAsia"/>
      </w:rPr>
    </w:lvl>
  </w:abstractNum>
  <w:abstractNum w:abstractNumId="2">
    <w:nsid w:val="12771F54"/>
    <w:multiLevelType w:val="singleLevel"/>
    <w:tmpl w:val="12771F54"/>
    <w:lvl w:ilvl="0" w:tentative="0">
      <w:start w:val="1"/>
      <w:numFmt w:val="chineseCounting"/>
      <w:suff w:val="nothing"/>
      <w:lvlText w:val="%1、"/>
      <w:lvlJc w:val="left"/>
      <w:rPr>
        <w:rFonts w:hint="eastAsia"/>
      </w:rPr>
    </w:lvl>
  </w:abstractNum>
  <w:abstractNum w:abstractNumId="3">
    <w:nsid w:val="21DF812C"/>
    <w:multiLevelType w:val="singleLevel"/>
    <w:tmpl w:val="21DF812C"/>
    <w:lvl w:ilvl="0" w:tentative="0">
      <w:start w:val="4"/>
      <w:numFmt w:val="chineseCounting"/>
      <w:suff w:val="nothing"/>
      <w:lvlText w:val="（%1）"/>
      <w:lvlJc w:val="left"/>
      <w:rPr>
        <w:rFonts w:hint="eastAsia"/>
      </w:rPr>
    </w:lvl>
  </w:abstractNum>
  <w:abstractNum w:abstractNumId="4">
    <w:nsid w:val="7C595C25"/>
    <w:multiLevelType w:val="singleLevel"/>
    <w:tmpl w:val="7C595C25"/>
    <w:lvl w:ilvl="0" w:tentative="0">
      <w:start w:val="3"/>
      <w:numFmt w:val="chineseCounting"/>
      <w:suff w:val="space"/>
      <w:lvlText w:val="第%1部分"/>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47"/>
    <w:rsid w:val="00001AE8"/>
    <w:rsid w:val="00004825"/>
    <w:rsid w:val="00006847"/>
    <w:rsid w:val="0001000C"/>
    <w:rsid w:val="00015569"/>
    <w:rsid w:val="00016EA2"/>
    <w:rsid w:val="0002386D"/>
    <w:rsid w:val="00026074"/>
    <w:rsid w:val="000273C8"/>
    <w:rsid w:val="00030D06"/>
    <w:rsid w:val="00032827"/>
    <w:rsid w:val="000453E2"/>
    <w:rsid w:val="00081FA0"/>
    <w:rsid w:val="000850F4"/>
    <w:rsid w:val="000954B3"/>
    <w:rsid w:val="00096A34"/>
    <w:rsid w:val="000A0A90"/>
    <w:rsid w:val="000C75D0"/>
    <w:rsid w:val="000D5FCC"/>
    <w:rsid w:val="000E7FA7"/>
    <w:rsid w:val="001009B9"/>
    <w:rsid w:val="00100B05"/>
    <w:rsid w:val="00102398"/>
    <w:rsid w:val="00121011"/>
    <w:rsid w:val="001424D2"/>
    <w:rsid w:val="00160DC3"/>
    <w:rsid w:val="00164F74"/>
    <w:rsid w:val="0016629D"/>
    <w:rsid w:val="00184475"/>
    <w:rsid w:val="001A3947"/>
    <w:rsid w:val="001D0452"/>
    <w:rsid w:val="001E1C25"/>
    <w:rsid w:val="001F5D6A"/>
    <w:rsid w:val="0020106E"/>
    <w:rsid w:val="002071AD"/>
    <w:rsid w:val="0022642F"/>
    <w:rsid w:val="00231051"/>
    <w:rsid w:val="00256ACF"/>
    <w:rsid w:val="00260CEC"/>
    <w:rsid w:val="00261C4E"/>
    <w:rsid w:val="00263F03"/>
    <w:rsid w:val="00267B46"/>
    <w:rsid w:val="0028647C"/>
    <w:rsid w:val="0029287C"/>
    <w:rsid w:val="002A02E2"/>
    <w:rsid w:val="002A6727"/>
    <w:rsid w:val="002B158D"/>
    <w:rsid w:val="002B2667"/>
    <w:rsid w:val="002B48D5"/>
    <w:rsid w:val="002B58A9"/>
    <w:rsid w:val="002C0061"/>
    <w:rsid w:val="002C22E8"/>
    <w:rsid w:val="002C2301"/>
    <w:rsid w:val="002C7FEC"/>
    <w:rsid w:val="002E41F8"/>
    <w:rsid w:val="00300317"/>
    <w:rsid w:val="00300C41"/>
    <w:rsid w:val="0030446D"/>
    <w:rsid w:val="00322F9F"/>
    <w:rsid w:val="00330729"/>
    <w:rsid w:val="0036279F"/>
    <w:rsid w:val="0036391B"/>
    <w:rsid w:val="00363ED5"/>
    <w:rsid w:val="00373876"/>
    <w:rsid w:val="003752E7"/>
    <w:rsid w:val="003802FC"/>
    <w:rsid w:val="0039568D"/>
    <w:rsid w:val="003B6FB1"/>
    <w:rsid w:val="003E010F"/>
    <w:rsid w:val="003E563F"/>
    <w:rsid w:val="00401BC6"/>
    <w:rsid w:val="00423438"/>
    <w:rsid w:val="00430401"/>
    <w:rsid w:val="004424D2"/>
    <w:rsid w:val="0045503B"/>
    <w:rsid w:val="00455234"/>
    <w:rsid w:val="00457CDE"/>
    <w:rsid w:val="00463314"/>
    <w:rsid w:val="004840B8"/>
    <w:rsid w:val="00492804"/>
    <w:rsid w:val="004B27AA"/>
    <w:rsid w:val="004B7BE4"/>
    <w:rsid w:val="004C594D"/>
    <w:rsid w:val="004D1714"/>
    <w:rsid w:val="004D623E"/>
    <w:rsid w:val="004E48CC"/>
    <w:rsid w:val="0050535C"/>
    <w:rsid w:val="0050736F"/>
    <w:rsid w:val="005152DA"/>
    <w:rsid w:val="00526A7F"/>
    <w:rsid w:val="0053610B"/>
    <w:rsid w:val="005607C5"/>
    <w:rsid w:val="00562DF7"/>
    <w:rsid w:val="0056470E"/>
    <w:rsid w:val="00565BB0"/>
    <w:rsid w:val="00567385"/>
    <w:rsid w:val="00574112"/>
    <w:rsid w:val="00575A43"/>
    <w:rsid w:val="00581483"/>
    <w:rsid w:val="005939BD"/>
    <w:rsid w:val="005C25A2"/>
    <w:rsid w:val="005D23E9"/>
    <w:rsid w:val="005D69A0"/>
    <w:rsid w:val="005E006E"/>
    <w:rsid w:val="005E4C31"/>
    <w:rsid w:val="006066C3"/>
    <w:rsid w:val="0061157C"/>
    <w:rsid w:val="00613E95"/>
    <w:rsid w:val="006166C2"/>
    <w:rsid w:val="006255E5"/>
    <w:rsid w:val="00636993"/>
    <w:rsid w:val="00657FE8"/>
    <w:rsid w:val="00666239"/>
    <w:rsid w:val="006676A1"/>
    <w:rsid w:val="00672D0A"/>
    <w:rsid w:val="00674C67"/>
    <w:rsid w:val="00675839"/>
    <w:rsid w:val="006904EF"/>
    <w:rsid w:val="00693000"/>
    <w:rsid w:val="00694ED6"/>
    <w:rsid w:val="006A5286"/>
    <w:rsid w:val="006B7EC4"/>
    <w:rsid w:val="006C3216"/>
    <w:rsid w:val="006C3382"/>
    <w:rsid w:val="006D20C6"/>
    <w:rsid w:val="006F2143"/>
    <w:rsid w:val="006F2216"/>
    <w:rsid w:val="006F7EFA"/>
    <w:rsid w:val="00707EEA"/>
    <w:rsid w:val="00712658"/>
    <w:rsid w:val="00725BCC"/>
    <w:rsid w:val="00735EAD"/>
    <w:rsid w:val="00735EAF"/>
    <w:rsid w:val="007445A1"/>
    <w:rsid w:val="007452FD"/>
    <w:rsid w:val="00746BDE"/>
    <w:rsid w:val="00773D9C"/>
    <w:rsid w:val="00777385"/>
    <w:rsid w:val="00777FAA"/>
    <w:rsid w:val="007A1EB3"/>
    <w:rsid w:val="007B3F3D"/>
    <w:rsid w:val="007B544B"/>
    <w:rsid w:val="007B5F04"/>
    <w:rsid w:val="007C6739"/>
    <w:rsid w:val="007D2C08"/>
    <w:rsid w:val="00803BB5"/>
    <w:rsid w:val="00804099"/>
    <w:rsid w:val="00804B07"/>
    <w:rsid w:val="00813B12"/>
    <w:rsid w:val="00814256"/>
    <w:rsid w:val="00820182"/>
    <w:rsid w:val="00822F19"/>
    <w:rsid w:val="0084263C"/>
    <w:rsid w:val="00857C1F"/>
    <w:rsid w:val="00871ED3"/>
    <w:rsid w:val="00873797"/>
    <w:rsid w:val="008905B5"/>
    <w:rsid w:val="00894559"/>
    <w:rsid w:val="008B2E87"/>
    <w:rsid w:val="008C51A2"/>
    <w:rsid w:val="008C5EAD"/>
    <w:rsid w:val="008D0ED0"/>
    <w:rsid w:val="008E6153"/>
    <w:rsid w:val="008E6BF7"/>
    <w:rsid w:val="008F0B66"/>
    <w:rsid w:val="00902670"/>
    <w:rsid w:val="00914348"/>
    <w:rsid w:val="009265DE"/>
    <w:rsid w:val="009267E0"/>
    <w:rsid w:val="009518F9"/>
    <w:rsid w:val="00990935"/>
    <w:rsid w:val="00992755"/>
    <w:rsid w:val="00993A5F"/>
    <w:rsid w:val="00994583"/>
    <w:rsid w:val="0099555C"/>
    <w:rsid w:val="00996541"/>
    <w:rsid w:val="009A4247"/>
    <w:rsid w:val="009C269E"/>
    <w:rsid w:val="009C482D"/>
    <w:rsid w:val="009D0E99"/>
    <w:rsid w:val="009D5474"/>
    <w:rsid w:val="009E591F"/>
    <w:rsid w:val="009E5C2C"/>
    <w:rsid w:val="00A01847"/>
    <w:rsid w:val="00A01FFB"/>
    <w:rsid w:val="00A065B2"/>
    <w:rsid w:val="00A1247F"/>
    <w:rsid w:val="00A129E8"/>
    <w:rsid w:val="00A14295"/>
    <w:rsid w:val="00A43793"/>
    <w:rsid w:val="00A53FB8"/>
    <w:rsid w:val="00A561A4"/>
    <w:rsid w:val="00A721E6"/>
    <w:rsid w:val="00A81967"/>
    <w:rsid w:val="00A961E8"/>
    <w:rsid w:val="00AA2D9D"/>
    <w:rsid w:val="00AA5ED1"/>
    <w:rsid w:val="00AA6FE9"/>
    <w:rsid w:val="00AC1638"/>
    <w:rsid w:val="00AC531A"/>
    <w:rsid w:val="00AE143A"/>
    <w:rsid w:val="00AE3E84"/>
    <w:rsid w:val="00AE5241"/>
    <w:rsid w:val="00AF21B5"/>
    <w:rsid w:val="00B01EEE"/>
    <w:rsid w:val="00B10F37"/>
    <w:rsid w:val="00B11C60"/>
    <w:rsid w:val="00B16DF0"/>
    <w:rsid w:val="00B3050E"/>
    <w:rsid w:val="00B37E50"/>
    <w:rsid w:val="00B568E9"/>
    <w:rsid w:val="00B57A87"/>
    <w:rsid w:val="00B70438"/>
    <w:rsid w:val="00B736CC"/>
    <w:rsid w:val="00B73E79"/>
    <w:rsid w:val="00B774C4"/>
    <w:rsid w:val="00B950B3"/>
    <w:rsid w:val="00B9676C"/>
    <w:rsid w:val="00BA6FBE"/>
    <w:rsid w:val="00BA7843"/>
    <w:rsid w:val="00BC29BE"/>
    <w:rsid w:val="00BD46F4"/>
    <w:rsid w:val="00BE3408"/>
    <w:rsid w:val="00C03BF4"/>
    <w:rsid w:val="00C150AA"/>
    <w:rsid w:val="00C178E6"/>
    <w:rsid w:val="00C24F26"/>
    <w:rsid w:val="00C45512"/>
    <w:rsid w:val="00C5484B"/>
    <w:rsid w:val="00C631FA"/>
    <w:rsid w:val="00C77B4A"/>
    <w:rsid w:val="00C930D6"/>
    <w:rsid w:val="00CA1EB4"/>
    <w:rsid w:val="00CB3F62"/>
    <w:rsid w:val="00CB432E"/>
    <w:rsid w:val="00CB603E"/>
    <w:rsid w:val="00CC29F4"/>
    <w:rsid w:val="00CC2B69"/>
    <w:rsid w:val="00CC7F7F"/>
    <w:rsid w:val="00CD071F"/>
    <w:rsid w:val="00CD7A14"/>
    <w:rsid w:val="00CF6093"/>
    <w:rsid w:val="00CF7ED1"/>
    <w:rsid w:val="00D041DB"/>
    <w:rsid w:val="00D04EC2"/>
    <w:rsid w:val="00D06025"/>
    <w:rsid w:val="00D06FCD"/>
    <w:rsid w:val="00D1318A"/>
    <w:rsid w:val="00D22D01"/>
    <w:rsid w:val="00D2605C"/>
    <w:rsid w:val="00D34DF1"/>
    <w:rsid w:val="00D42431"/>
    <w:rsid w:val="00D44FC8"/>
    <w:rsid w:val="00D5044A"/>
    <w:rsid w:val="00D52687"/>
    <w:rsid w:val="00D5350B"/>
    <w:rsid w:val="00D66A01"/>
    <w:rsid w:val="00D83AE9"/>
    <w:rsid w:val="00D8559C"/>
    <w:rsid w:val="00DA153C"/>
    <w:rsid w:val="00DA6D8B"/>
    <w:rsid w:val="00DD08F9"/>
    <w:rsid w:val="00DE32A2"/>
    <w:rsid w:val="00E07D04"/>
    <w:rsid w:val="00E15853"/>
    <w:rsid w:val="00E30EA9"/>
    <w:rsid w:val="00E32243"/>
    <w:rsid w:val="00E363DA"/>
    <w:rsid w:val="00E3698F"/>
    <w:rsid w:val="00E41622"/>
    <w:rsid w:val="00E4284D"/>
    <w:rsid w:val="00E52D22"/>
    <w:rsid w:val="00E605A7"/>
    <w:rsid w:val="00E923C4"/>
    <w:rsid w:val="00EA506A"/>
    <w:rsid w:val="00EB2589"/>
    <w:rsid w:val="00EB457D"/>
    <w:rsid w:val="00EC2837"/>
    <w:rsid w:val="00ED2C04"/>
    <w:rsid w:val="00ED59E8"/>
    <w:rsid w:val="00EE0150"/>
    <w:rsid w:val="00EF35AC"/>
    <w:rsid w:val="00EF382B"/>
    <w:rsid w:val="00EF43E0"/>
    <w:rsid w:val="00F05237"/>
    <w:rsid w:val="00F06408"/>
    <w:rsid w:val="00F1626C"/>
    <w:rsid w:val="00F16BA5"/>
    <w:rsid w:val="00F25E1F"/>
    <w:rsid w:val="00F41526"/>
    <w:rsid w:val="00F65743"/>
    <w:rsid w:val="00F77424"/>
    <w:rsid w:val="00F93F46"/>
    <w:rsid w:val="00F9411F"/>
    <w:rsid w:val="00FA10DC"/>
    <w:rsid w:val="00FB0476"/>
    <w:rsid w:val="00FB14BE"/>
    <w:rsid w:val="00FC56DD"/>
    <w:rsid w:val="00FD7038"/>
    <w:rsid w:val="00FE54C4"/>
    <w:rsid w:val="00FF4DFB"/>
    <w:rsid w:val="012B5DDD"/>
    <w:rsid w:val="06804B96"/>
    <w:rsid w:val="08C169A0"/>
    <w:rsid w:val="09493A57"/>
    <w:rsid w:val="0AA95CB1"/>
    <w:rsid w:val="0D24478D"/>
    <w:rsid w:val="0E585E7E"/>
    <w:rsid w:val="0EA904E7"/>
    <w:rsid w:val="0EF9097A"/>
    <w:rsid w:val="0F810064"/>
    <w:rsid w:val="1172410C"/>
    <w:rsid w:val="122807D1"/>
    <w:rsid w:val="172D0A35"/>
    <w:rsid w:val="173C2A0F"/>
    <w:rsid w:val="18BE5975"/>
    <w:rsid w:val="18C71A26"/>
    <w:rsid w:val="19D81A55"/>
    <w:rsid w:val="1A205A18"/>
    <w:rsid w:val="1A5F7AEE"/>
    <w:rsid w:val="1AD031E7"/>
    <w:rsid w:val="1CAC1F0F"/>
    <w:rsid w:val="20115307"/>
    <w:rsid w:val="21A70216"/>
    <w:rsid w:val="246231FD"/>
    <w:rsid w:val="283B2B07"/>
    <w:rsid w:val="284C153F"/>
    <w:rsid w:val="28892854"/>
    <w:rsid w:val="290A07B5"/>
    <w:rsid w:val="29A137A4"/>
    <w:rsid w:val="2C4F6B86"/>
    <w:rsid w:val="2C7E1294"/>
    <w:rsid w:val="2CBD0FD7"/>
    <w:rsid w:val="2ED62334"/>
    <w:rsid w:val="2F1A4973"/>
    <w:rsid w:val="30B26C1C"/>
    <w:rsid w:val="330B79DE"/>
    <w:rsid w:val="38791B28"/>
    <w:rsid w:val="39753C38"/>
    <w:rsid w:val="3A6D7808"/>
    <w:rsid w:val="3A7D0D4D"/>
    <w:rsid w:val="3D3077DC"/>
    <w:rsid w:val="411911A4"/>
    <w:rsid w:val="413D39F9"/>
    <w:rsid w:val="417F7504"/>
    <w:rsid w:val="42EA70C8"/>
    <w:rsid w:val="44881D9A"/>
    <w:rsid w:val="459F17A4"/>
    <w:rsid w:val="478C42CC"/>
    <w:rsid w:val="4ADD5D37"/>
    <w:rsid w:val="4B091A50"/>
    <w:rsid w:val="4BBE1041"/>
    <w:rsid w:val="4F73605F"/>
    <w:rsid w:val="4F8B113C"/>
    <w:rsid w:val="50AA0DE2"/>
    <w:rsid w:val="5251591D"/>
    <w:rsid w:val="55527819"/>
    <w:rsid w:val="575464DA"/>
    <w:rsid w:val="58CF3D9E"/>
    <w:rsid w:val="592811F7"/>
    <w:rsid w:val="5AA34A6C"/>
    <w:rsid w:val="5B000CD4"/>
    <w:rsid w:val="5BD83068"/>
    <w:rsid w:val="5DAE2D14"/>
    <w:rsid w:val="5DD81C3B"/>
    <w:rsid w:val="5F140159"/>
    <w:rsid w:val="60255EC4"/>
    <w:rsid w:val="60570CA2"/>
    <w:rsid w:val="61F6501A"/>
    <w:rsid w:val="64614621"/>
    <w:rsid w:val="65415F2D"/>
    <w:rsid w:val="673129F7"/>
    <w:rsid w:val="68E85E85"/>
    <w:rsid w:val="691055D0"/>
    <w:rsid w:val="6B432F19"/>
    <w:rsid w:val="6C6754F6"/>
    <w:rsid w:val="6E30348D"/>
    <w:rsid w:val="6EE65CAC"/>
    <w:rsid w:val="74100D77"/>
    <w:rsid w:val="753801AB"/>
    <w:rsid w:val="773A0B23"/>
    <w:rsid w:val="782E5550"/>
    <w:rsid w:val="7AB03313"/>
    <w:rsid w:val="7DE34D1F"/>
    <w:rsid w:val="7F0A1785"/>
    <w:rsid w:val="7F992F3C"/>
    <w:rsid w:val="7FF6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rPr>
      <w:rFonts w:ascii="Times New Roman" w:hAnsi="Times New Roman" w:cs="Times New Roman"/>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标题 2 Char"/>
    <w:basedOn w:val="7"/>
    <w:link w:val="2"/>
    <w:qFormat/>
    <w:uiPriority w:val="9"/>
    <w:rPr>
      <w:rFonts w:ascii="宋体" w:hAnsi="宋体" w:eastAsia="宋体" w:cs="宋体"/>
      <w:b/>
      <w:bCs/>
      <w:kern w:val="0"/>
      <w:sz w:val="36"/>
      <w:szCs w:val="36"/>
    </w:rPr>
  </w:style>
  <w:style w:type="paragraph" w:customStyle="1" w:styleId="11">
    <w:name w:val="样式1"/>
    <w:basedOn w:val="5"/>
    <w:link w:val="12"/>
    <w:qFormat/>
    <w:uiPriority w:val="0"/>
    <w:pPr>
      <w:widowControl/>
      <w:shd w:val="clear" w:color="auto" w:fill="F6F6F6"/>
      <w:spacing w:line="486" w:lineRule="atLeast"/>
    </w:pPr>
    <w:rPr>
      <w:rFonts w:ascii="Helvetica" w:hAnsi="Helvetica" w:eastAsia="宋体" w:cs="Helvetica"/>
      <w:color w:val="000000"/>
      <w:kern w:val="0"/>
      <w:sz w:val="27"/>
      <w:szCs w:val="36"/>
    </w:rPr>
  </w:style>
  <w:style w:type="character" w:customStyle="1" w:styleId="12">
    <w:name w:val="样式1 Char"/>
    <w:basedOn w:val="7"/>
    <w:link w:val="11"/>
    <w:qFormat/>
    <w:uiPriority w:val="0"/>
    <w:rPr>
      <w:rFonts w:ascii="Helvetica" w:hAnsi="Helvetica" w:eastAsia="宋体" w:cs="Helvetica"/>
      <w:color w:val="000000"/>
      <w:kern w:val="0"/>
      <w:sz w:val="27"/>
      <w:szCs w:val="36"/>
      <w:shd w:val="clear" w:color="auto" w:fill="F6F6F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382</Words>
  <Characters>2183</Characters>
  <Lines>18</Lines>
  <Paragraphs>5</Paragraphs>
  <TotalTime>34</TotalTime>
  <ScaleCrop>false</ScaleCrop>
  <LinksUpToDate>false</LinksUpToDate>
  <CharactersWithSpaces>2560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2018-01-24T08:10:00Z</dcterms:created>
  <dc:creator>Administrator</dc:creator>
  <cp:lastModifiedBy>深蓝</cp:lastModifiedBy>
  <cp:lastPrinted>2021-01-25T08:38:53Z</cp:lastPrinted>
  <dcterms:modified xsi:type="dcterms:W3CDTF">2021-01-25T08:42:21Z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