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00" w:lineRule="exact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附件11</w:t>
      </w:r>
    </w:p>
    <w:p>
      <w:pPr>
        <w:spacing w:line="240" w:lineRule="exact"/>
        <w:rPr>
          <w:rFonts w:hint="eastAsia" w:ascii="方正仿宋_GBK" w:eastAsia="方正仿宋_GBK"/>
          <w:szCs w:val="21"/>
        </w:rPr>
      </w:pPr>
    </w:p>
    <w:p>
      <w:pPr>
        <w:ind w:firstLine="900" w:firstLineChars="250"/>
        <w:rPr>
          <w:rFonts w:hint="eastAsia"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  <w:u w:val="single"/>
        </w:rPr>
        <w:t xml:space="preserve">         </w:t>
      </w:r>
      <w:r>
        <w:rPr>
          <w:rFonts w:hint="eastAsia" w:ascii="方正小标宋_GBK" w:hAnsi="黑体" w:eastAsia="方正小标宋_GBK"/>
          <w:sz w:val="36"/>
          <w:szCs w:val="36"/>
        </w:rPr>
        <w:t>同志调整伤残等级申报材料目录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138"/>
        <w:gridCol w:w="1047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材料名称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页码</w:t>
            </w: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提交状况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个人要求调整伤残等级的书面申请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原评定伤残等级的证明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3</w:t>
            </w:r>
          </w:p>
        </w:tc>
        <w:tc>
          <w:tcPr>
            <w:tcW w:w="4138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本人认为残疾情况与原伤残等级明显不符的医疗诊断证明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4</w:t>
            </w:r>
          </w:p>
        </w:tc>
        <w:tc>
          <w:tcPr>
            <w:tcW w:w="4138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申请人近期二寸免冠彩色照片4张及身份证、户口簿复印件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5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医疗卫生专家小组出具的残疾等级医学鉴定意见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6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精神病残疾情况医学鉴定意见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7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职业病残疾情况医学鉴定意见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8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《调整伤残等级审批表》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9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县（市、区）退役军人事务局审查综合报告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10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伤残证件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11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12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13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869AE"/>
    <w:rsid w:val="226F5C23"/>
    <w:rsid w:val="6978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2020-10-14T03:24:00Z</dcterms:created>
  <dc:creator>EDZ</dc:creator>
  <cp:lastModifiedBy>EDZ</cp:lastModifiedBy>
  <dcterms:modified xsi:type="dcterms:W3CDTF">2020-10-14T03:25:57Z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