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随州市人民政府扶贫开发办公室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市政务公开办关于做好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年政府信息公开工作的有关要求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，现将我办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</w:t>
      </w:r>
      <w:r>
        <w:rPr>
          <w:rFonts w:hint="eastAsia" w:ascii="仿宋" w:hAnsi="仿宋" w:eastAsia="仿宋" w:cs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（一）加强组织领导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办机关</w:t>
      </w:r>
      <w:r>
        <w:rPr>
          <w:rFonts w:hint="eastAsia" w:ascii="仿宋" w:hAnsi="仿宋" w:eastAsia="仿宋" w:cs="仿宋"/>
          <w:sz w:val="32"/>
          <w:szCs w:val="32"/>
        </w:rPr>
        <w:t>人事变动，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我办</w:t>
      </w:r>
      <w:r>
        <w:rPr>
          <w:rFonts w:hint="eastAsia" w:ascii="仿宋" w:hAnsi="仿宋" w:eastAsia="仿宋" w:cs="仿宋"/>
          <w:sz w:val="32"/>
          <w:szCs w:val="32"/>
        </w:rPr>
        <w:t>及时调整了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市扶贫办</w:t>
      </w:r>
      <w:r>
        <w:rPr>
          <w:rFonts w:hint="eastAsia" w:ascii="仿宋" w:hAnsi="仿宋" w:eastAsia="仿宋" w:cs="仿宋"/>
          <w:sz w:val="32"/>
          <w:szCs w:val="32"/>
        </w:rPr>
        <w:t>政府信息公开工作领导小组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</w:t>
      </w:r>
      <w:r>
        <w:rPr>
          <w:rFonts w:hint="eastAsia" w:ascii="仿宋" w:hAnsi="仿宋" w:eastAsia="仿宋" w:cs="仿宋"/>
          <w:sz w:val="32"/>
          <w:szCs w:val="32"/>
        </w:rPr>
        <w:t>，党组书记、主任担任组长，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各党组成员为副组长，</w:t>
      </w:r>
      <w:r>
        <w:rPr>
          <w:rFonts w:hint="eastAsia" w:ascii="仿宋" w:hAnsi="仿宋" w:eastAsia="仿宋" w:cs="仿宋"/>
          <w:sz w:val="32"/>
          <w:szCs w:val="32"/>
        </w:rPr>
        <w:t>各科室负责人为成员，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领导小组下设办公室、</w:t>
      </w:r>
      <w:r>
        <w:rPr>
          <w:rFonts w:hint="eastAsia" w:ascii="仿宋" w:hAnsi="仿宋" w:eastAsia="仿宋" w:cs="仿宋"/>
          <w:sz w:val="32"/>
          <w:szCs w:val="32"/>
        </w:rPr>
        <w:t>舆情监测室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办公室设在综合科，负责信息公开工作，确保重要信息不漏报、不迟报、不误报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舆情监测室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设在政策法规科</w:t>
      </w:r>
      <w:r>
        <w:rPr>
          <w:rFonts w:hint="eastAsia" w:ascii="仿宋" w:hAnsi="仿宋" w:eastAsia="仿宋" w:cs="仿宋"/>
          <w:sz w:val="32"/>
          <w:szCs w:val="32"/>
        </w:rPr>
        <w:t>，负责政务舆情监测、研判和回应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，确保舆情信息早发现、早处理、早反馈。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完善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工作制度。</w:t>
      </w:r>
      <w:r>
        <w:rPr>
          <w:rFonts w:hint="eastAsia" w:ascii="仿宋" w:hAnsi="仿宋" w:eastAsia="仿宋" w:cs="仿宋"/>
          <w:sz w:val="32"/>
          <w:szCs w:val="32"/>
        </w:rPr>
        <w:t>按照“公开是原则、不公开是例外”的总体要求，坚持“严格依法、全面真实、注重实效、及时便民”的政府信息公开原则，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党组会</w:t>
      </w:r>
      <w:r>
        <w:rPr>
          <w:rFonts w:hint="eastAsia" w:ascii="仿宋" w:hAnsi="仿宋" w:eastAsia="仿宋" w:cs="仿宋"/>
          <w:sz w:val="32"/>
          <w:szCs w:val="32"/>
        </w:rPr>
        <w:t>讨论决定的事项、办制定的各项政策规定，除依法需要保密的外，及时公布，努力提高工作透明度，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由综合科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sz w:val="32"/>
          <w:szCs w:val="32"/>
        </w:rPr>
        <w:t>，办各科室积极配合，实行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“谁落实谁公开、</w:t>
      </w:r>
      <w:r>
        <w:rPr>
          <w:rFonts w:hint="eastAsia" w:ascii="仿宋" w:hAnsi="仿宋" w:eastAsia="仿宋" w:cs="仿宋"/>
          <w:sz w:val="32"/>
          <w:szCs w:val="32"/>
        </w:rPr>
        <w:t>谁公开谁负责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并完善</w:t>
      </w:r>
      <w:r>
        <w:rPr>
          <w:rFonts w:hint="eastAsia" w:ascii="仿宋" w:hAnsi="仿宋" w:eastAsia="仿宋" w:cs="仿宋"/>
          <w:sz w:val="32"/>
          <w:szCs w:val="32"/>
        </w:rPr>
        <w:t>了《政府信息主动公开制度》、《依申请公开制度》、《保密审查制度》等相关工作制度。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（三）主动公开信息。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</w:t>
      </w:r>
      <w:r>
        <w:rPr>
          <w:rFonts w:hint="eastAsia" w:ascii="仿宋" w:hAnsi="仿宋" w:eastAsia="仿宋" w:cs="仿宋"/>
          <w:sz w:val="32"/>
          <w:szCs w:val="32"/>
        </w:rPr>
        <w:t>公开公众关心的热点和重点问题，如扶贫政策、专项资金使用等信息。截止目前，通过市政府部门公开网站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及省扶贫办官网</w:t>
      </w:r>
      <w:r>
        <w:rPr>
          <w:rFonts w:hint="eastAsia" w:ascii="仿宋" w:hAnsi="仿宋" w:eastAsia="仿宋" w:cs="仿宋"/>
          <w:sz w:val="32"/>
          <w:szCs w:val="32"/>
        </w:rPr>
        <w:t>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包含人大、政协议案提案答复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4条，财政专项扶贫资金分配2条，光伏电站净收益分配3条，贫困村出列信息1条，政务工作动态20条，其他公开信息3条，做到了应公开、尽公开。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二、主动公开政府信息情况</w:t>
      </w:r>
    </w:p>
    <w:tbl>
      <w:tblPr>
        <w:tblStyle w:val="5"/>
        <w:tblW w:w="9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2238"/>
        <w:gridCol w:w="1722"/>
        <w:gridCol w:w="2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规范性文件（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各行政机关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以本机关或本机关办公室名义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印发的有正式文号的文件）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3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（指2018年事项数）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（指2019年增加或减少的事项数，减用负值表示，如-8）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处理决定数量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（指2019年办件量）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（指2018年事项数）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（指2019年增加或减少的事项数，减用负值表示，如-8）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处理决定数量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（指2019年办件量）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（指2018年收费项目数）</w:t>
            </w: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（指2019年增加的收费项目数，减用负值表示，如-8）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3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采购项目数量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（指2019年以政府集中采购方式立项采购的项目总个数）</w:t>
            </w: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采购总金额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（指2019年以政府集中采购方式采购的项目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已支付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的总金额）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三、行政机关收到和处理政府信息公开申请情况</w:t>
      </w:r>
    </w:p>
    <w:tbl>
      <w:tblPr>
        <w:tblStyle w:val="5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64"/>
        <w:gridCol w:w="1933"/>
        <w:gridCol w:w="846"/>
        <w:gridCol w:w="703"/>
        <w:gridCol w:w="703"/>
        <w:gridCol w:w="876"/>
        <w:gridCol w:w="857"/>
        <w:gridCol w:w="698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（本列数据的勾稽关系为：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第一项加第二项之和，等于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第三项加第四项之和）</w:t>
            </w:r>
          </w:p>
        </w:tc>
        <w:tc>
          <w:tcPr>
            <w:tcW w:w="5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自然人</w:t>
            </w: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商业企业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科研机构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社会公益组织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法律服务机构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szCs w:val="21"/>
              </w:rPr>
              <w:t>其他</w:t>
            </w: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三、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年度办理结果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（一）予以公开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（三）不予公开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1.属于国家秘密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3.危及“三安全一稳定”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4.保护第三方合法权益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5.属于三类内部事务信息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6.属于四类过程性信息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7.属于行政执法案卷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8.属于行政查询事项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（四）无法提供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3.补正后申请内容仍不明确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（五）不予处理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1.信访举报投诉类申请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2.重复申请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3.要求提供公开出版物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三、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年度办理结果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（五）不予处理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4.无正当理由大量反复申请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（六）其他处理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（七）总计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四、结转下年度继续办理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600" w:lineRule="exact"/>
        <w:ind w:firstLine="608" w:firstLineChars="200"/>
        <w:rPr>
          <w:rFonts w:hint="eastAsia" w:ascii="黑体" w:hAnsi="黑体" w:eastAsia="黑体" w:cs="黑体"/>
          <w:spacing w:val="-8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四、因政府信息公开工作被申请行政复议、提起行政诉讼情况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85"/>
        <w:gridCol w:w="585"/>
        <w:gridCol w:w="586"/>
        <w:gridCol w:w="530"/>
        <w:gridCol w:w="597"/>
        <w:gridCol w:w="599"/>
        <w:gridCol w:w="588"/>
        <w:gridCol w:w="634"/>
        <w:gridCol w:w="563"/>
        <w:gridCol w:w="623"/>
        <w:gridCol w:w="591"/>
        <w:gridCol w:w="590"/>
        <w:gridCol w:w="590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行政复议</w:t>
            </w:r>
          </w:p>
        </w:tc>
        <w:tc>
          <w:tcPr>
            <w:tcW w:w="59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其他结果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尚未审结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总计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未经复议直接起诉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结果维持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结果纠正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其他结果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尚未审结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结果维持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结果纠正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尚未审结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、政府信息公开工作存在的主要问题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2019年我办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严格依照有关规定开展政府信息公开工作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在政府信息公开工作上取得了一定成效，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但在</w:t>
      </w:r>
      <w:r>
        <w:rPr>
          <w:rFonts w:hint="eastAsia" w:ascii="仿宋" w:hAnsi="仿宋" w:eastAsia="仿宋" w:cs="仿宋"/>
          <w:sz w:val="32"/>
          <w:szCs w:val="32"/>
        </w:rPr>
        <w:t>主动公开意识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上和信息公开的时效性上</w:t>
      </w:r>
      <w:r>
        <w:rPr>
          <w:rFonts w:hint="eastAsia" w:ascii="仿宋" w:hAnsi="仿宋" w:eastAsia="仿宋" w:cs="仿宋"/>
          <w:sz w:val="32"/>
          <w:szCs w:val="32"/>
        </w:rPr>
        <w:t>有待进一步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2020年将采取以下措施，进一步做好我办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提高思想认识。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结合办机关干部例会、支部主题党日等活动，学习相关文件要求及会议精神，提升办机关干部对政府信息公开工作的认识和行动自觉。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加大宣传力度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广泛开展政府信息公开工作宣传活动，塑造良好的政府信息公开工作氛围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为公众提供及时、准确、实用的信息。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7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（三）拓展公开渠道。</w:t>
      </w:r>
      <w:r>
        <w:rPr>
          <w:rFonts w:hint="eastAsia" w:ascii="仿宋" w:hAnsi="仿宋" w:eastAsia="仿宋" w:cs="仿宋"/>
          <w:sz w:val="32"/>
          <w:szCs w:val="32"/>
        </w:rPr>
        <w:t>充分利用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公示栏、政府门户网站等</w:t>
      </w:r>
      <w:r>
        <w:rPr>
          <w:rFonts w:hint="eastAsia" w:ascii="仿宋" w:hAnsi="仿宋" w:eastAsia="仿宋" w:cs="仿宋"/>
          <w:sz w:val="32"/>
          <w:szCs w:val="32"/>
        </w:rPr>
        <w:t>现有平台，以公众关心的热点、难点问题为导向，全面、及时地公开政府信息，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确保政府信息公开的时效性。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同时利用广播、电视、报刊、电子广告牌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、广告宣传牌</w:t>
      </w:r>
      <w:r>
        <w:rPr>
          <w:rFonts w:hint="eastAsia" w:ascii="仿宋" w:hAnsi="仿宋" w:eastAsia="仿宋" w:cs="仿宋"/>
          <w:sz w:val="32"/>
          <w:szCs w:val="32"/>
        </w:rPr>
        <w:t>等公众媒体，大力宣传扶贫信息的新动态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，拓宽群众知晓率及信息普及面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其他需要报告的事项：无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随州市人民政府扶贫开发办公室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776168"/>
    <w:multiLevelType w:val="singleLevel"/>
    <w:tmpl w:val="C8776168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960A8"/>
    <w:rsid w:val="00C71439"/>
    <w:rsid w:val="03C77298"/>
    <w:rsid w:val="0618150A"/>
    <w:rsid w:val="07B93FA1"/>
    <w:rsid w:val="09536E09"/>
    <w:rsid w:val="09801644"/>
    <w:rsid w:val="0C8F0E9B"/>
    <w:rsid w:val="0D3626C7"/>
    <w:rsid w:val="0D6268F8"/>
    <w:rsid w:val="0FB34FEB"/>
    <w:rsid w:val="11EF368F"/>
    <w:rsid w:val="146960A8"/>
    <w:rsid w:val="15EE5A2A"/>
    <w:rsid w:val="1C566C93"/>
    <w:rsid w:val="1F595FCC"/>
    <w:rsid w:val="20914028"/>
    <w:rsid w:val="22EB1FFC"/>
    <w:rsid w:val="230A3627"/>
    <w:rsid w:val="23566111"/>
    <w:rsid w:val="24BC60F2"/>
    <w:rsid w:val="25AC3C1D"/>
    <w:rsid w:val="306434D0"/>
    <w:rsid w:val="344961ED"/>
    <w:rsid w:val="3C323A79"/>
    <w:rsid w:val="3E8C644A"/>
    <w:rsid w:val="3FD806B8"/>
    <w:rsid w:val="421F5EA3"/>
    <w:rsid w:val="425126C0"/>
    <w:rsid w:val="43000C9E"/>
    <w:rsid w:val="44FA26EE"/>
    <w:rsid w:val="450F7C8D"/>
    <w:rsid w:val="461A5160"/>
    <w:rsid w:val="49EF1F94"/>
    <w:rsid w:val="4A2E4E44"/>
    <w:rsid w:val="4C04617F"/>
    <w:rsid w:val="4C945CD7"/>
    <w:rsid w:val="57E714EA"/>
    <w:rsid w:val="58F164E4"/>
    <w:rsid w:val="5AFB6C2C"/>
    <w:rsid w:val="62E4386B"/>
    <w:rsid w:val="631E70AB"/>
    <w:rsid w:val="63DC26FD"/>
    <w:rsid w:val="64386FC2"/>
    <w:rsid w:val="6D055BC4"/>
    <w:rsid w:val="708A0718"/>
    <w:rsid w:val="74E35499"/>
    <w:rsid w:val="752634BF"/>
    <w:rsid w:val="760E1359"/>
    <w:rsid w:val="770758A9"/>
    <w:rsid w:val="786D7A7C"/>
    <w:rsid w:val="7BBD629F"/>
    <w:rsid w:val="7C157320"/>
    <w:rsid w:val="7CBD0193"/>
    <w:rsid w:val="7D736C63"/>
    <w:rsid w:val="7DFF21AF"/>
    <w:rsid w:val="7EB1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2019-12-20T03:29:00Z</dcterms:created>
  <dc:creator>Administrator</dc:creator>
  <cp:lastModifiedBy>宁静致远</cp:lastModifiedBy>
  <cp:lastPrinted>2020-01-08T02:35:00Z</cp:lastPrinted>
  <dcterms:modified xsi:type="dcterms:W3CDTF">2020-01-09T01:35:45Z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